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A832" w14:textId="00686512" w:rsidR="00BB12C2" w:rsidRPr="00303F36" w:rsidRDefault="00BB12C2" w:rsidP="00BB12C2">
      <w:pPr>
        <w:tabs>
          <w:tab w:val="left" w:pos="1701"/>
          <w:tab w:val="right" w:pos="9639"/>
        </w:tabs>
        <w:spacing w:after="60"/>
        <w:jc w:val="both"/>
        <w:rPr>
          <w:rFonts w:ascii="Arial" w:hAnsi="Arial" w:cs="Arial"/>
          <w:b/>
          <w:sz w:val="32"/>
          <w:szCs w:val="32"/>
        </w:rPr>
      </w:pPr>
      <w:bookmarkStart w:id="0" w:name="_Hlk163052523"/>
      <w:bookmarkEnd w:id="0"/>
      <w:r w:rsidRPr="00303F36">
        <w:rPr>
          <w:rFonts w:ascii="Arial" w:hAnsi="Arial" w:cs="Arial"/>
          <w:b/>
        </w:rPr>
        <w:t>3GPP TSG RAN WG1 #</w:t>
      </w:r>
      <w:r>
        <w:rPr>
          <w:rFonts w:ascii="Arial" w:hAnsi="Arial" w:cs="Arial"/>
          <w:b/>
        </w:rPr>
        <w:t>117</w:t>
      </w:r>
      <w:r w:rsidRPr="00303F36">
        <w:rPr>
          <w:rFonts w:ascii="Arial" w:hAnsi="Arial" w:cs="Arial"/>
          <w:b/>
        </w:rPr>
        <w:tab/>
      </w:r>
      <w:r w:rsidR="00666C4D">
        <w:rPr>
          <w:rFonts w:ascii="Arial" w:hAnsi="Arial" w:cs="Arial"/>
          <w:b/>
        </w:rPr>
        <w:t>R1-2405107</w:t>
      </w:r>
    </w:p>
    <w:p w14:paraId="3CF0805F" w14:textId="77777777" w:rsidR="00BB12C2" w:rsidRPr="00303F36" w:rsidRDefault="00BB12C2" w:rsidP="00BB12C2">
      <w:pPr>
        <w:tabs>
          <w:tab w:val="left" w:pos="1701"/>
          <w:tab w:val="right" w:pos="9639"/>
        </w:tabs>
        <w:spacing w:after="240"/>
        <w:jc w:val="both"/>
        <w:rPr>
          <w:rFonts w:ascii="Arial" w:hAnsi="Arial" w:cs="Arial"/>
          <w:b/>
        </w:rPr>
      </w:pPr>
      <w:r w:rsidRPr="00136155">
        <w:rPr>
          <w:rFonts w:ascii="Arial" w:hAnsi="Arial" w:cs="Arial"/>
          <w:b/>
          <w:bCs/>
          <w:lang w:val="en-GB"/>
        </w:rPr>
        <w:t>Fukuoka</w:t>
      </w:r>
      <w:r w:rsidRPr="00303F36">
        <w:rPr>
          <w:rFonts w:ascii="Arial" w:hAnsi="Arial" w:cs="Arial"/>
          <w:b/>
          <w:bCs/>
          <w:lang w:val="en-GB"/>
        </w:rPr>
        <w:t xml:space="preserve">, </w:t>
      </w:r>
      <w:r>
        <w:rPr>
          <w:rFonts w:ascii="Arial" w:hAnsi="Arial" w:cs="Arial"/>
          <w:b/>
          <w:bCs/>
          <w:lang w:val="en-GB"/>
        </w:rPr>
        <w:t>Japan</w:t>
      </w:r>
      <w:r w:rsidRPr="00303F36">
        <w:rPr>
          <w:rFonts w:ascii="Arial" w:hAnsi="Arial" w:cs="Arial"/>
          <w:b/>
          <w:bCs/>
          <w:lang w:val="en-GB"/>
        </w:rPr>
        <w:t xml:space="preserve">, </w:t>
      </w:r>
      <w:r>
        <w:rPr>
          <w:rFonts w:ascii="Arial" w:hAnsi="Arial" w:cs="Arial"/>
          <w:b/>
          <w:bCs/>
          <w:lang w:val="en-GB"/>
        </w:rPr>
        <w:t>May</w:t>
      </w:r>
      <w:r w:rsidRPr="00303F36">
        <w:rPr>
          <w:rFonts w:ascii="Arial" w:hAnsi="Arial" w:cs="Arial"/>
          <w:b/>
          <w:bCs/>
          <w:lang w:val="en-GB"/>
        </w:rPr>
        <w:t xml:space="preserve"> </w:t>
      </w:r>
      <w:r>
        <w:rPr>
          <w:rFonts w:ascii="Arial" w:hAnsi="Arial" w:cs="Arial"/>
          <w:b/>
          <w:bCs/>
          <w:lang w:val="en-GB"/>
        </w:rPr>
        <w:t>20</w:t>
      </w:r>
      <w:r w:rsidRPr="00303F36">
        <w:rPr>
          <w:rFonts w:ascii="Arial" w:hAnsi="Arial" w:cs="Arial"/>
          <w:b/>
          <w:bCs/>
          <w:lang w:val="en-GB"/>
        </w:rPr>
        <w:t xml:space="preserve">th – </w:t>
      </w:r>
      <w:r>
        <w:rPr>
          <w:rFonts w:ascii="Arial" w:hAnsi="Arial" w:cs="Arial"/>
          <w:b/>
          <w:bCs/>
          <w:lang w:val="en-GB"/>
        </w:rPr>
        <w:t>May</w:t>
      </w:r>
      <w:r w:rsidRPr="00303F36">
        <w:rPr>
          <w:rFonts w:ascii="Arial" w:hAnsi="Arial" w:cs="Arial"/>
          <w:b/>
          <w:bCs/>
          <w:lang w:val="en-GB"/>
        </w:rPr>
        <w:t xml:space="preserve"> </w:t>
      </w:r>
      <w:r>
        <w:rPr>
          <w:rFonts w:ascii="Arial" w:hAnsi="Arial" w:cs="Arial"/>
          <w:b/>
          <w:bCs/>
          <w:lang w:val="en-GB"/>
        </w:rPr>
        <w:t>24th</w:t>
      </w:r>
      <w:r w:rsidRPr="00303F36">
        <w:rPr>
          <w:rFonts w:ascii="Arial" w:hAnsi="Arial" w:cs="Arial"/>
          <w:b/>
          <w:bCs/>
          <w:lang w:val="en-GB"/>
        </w:rPr>
        <w:t>, 2024</w:t>
      </w:r>
    </w:p>
    <w:p w14:paraId="281E6A27" w14:textId="77777777" w:rsidR="0059677F" w:rsidRPr="00303F36" w:rsidRDefault="0059677F" w:rsidP="0059677F">
      <w:pPr>
        <w:tabs>
          <w:tab w:val="left" w:pos="1701"/>
          <w:tab w:val="right" w:pos="9639"/>
        </w:tabs>
        <w:jc w:val="both"/>
        <w:rPr>
          <w:rFonts w:ascii="Arial" w:hAnsi="Arial" w:cs="Arial"/>
          <w:b/>
        </w:rPr>
      </w:pPr>
    </w:p>
    <w:p w14:paraId="31DB2B3E"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Agenda Item:</w:t>
      </w:r>
      <w:r w:rsidRPr="00303F36">
        <w:rPr>
          <w:rFonts w:ascii="Arial" w:hAnsi="Arial" w:cs="Arial"/>
          <w:b/>
        </w:rPr>
        <w:tab/>
        <w:t>9.5.3</w:t>
      </w:r>
    </w:p>
    <w:p w14:paraId="4016B188"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Source:</w:t>
      </w:r>
      <w:r w:rsidRPr="00303F36">
        <w:rPr>
          <w:rFonts w:ascii="Arial" w:hAnsi="Arial" w:cs="Arial"/>
          <w:b/>
        </w:rPr>
        <w:tab/>
        <w:t>Ericsson</w:t>
      </w:r>
    </w:p>
    <w:p w14:paraId="41A5773D" w14:textId="77777777" w:rsidR="0059677F" w:rsidRPr="00303F36" w:rsidRDefault="0059677F" w:rsidP="0059677F">
      <w:pPr>
        <w:tabs>
          <w:tab w:val="left" w:pos="1701"/>
          <w:tab w:val="right" w:pos="9639"/>
        </w:tabs>
        <w:jc w:val="both"/>
        <w:rPr>
          <w:rFonts w:ascii="Arial" w:hAnsi="Arial" w:cs="Arial"/>
          <w:b/>
        </w:rPr>
      </w:pPr>
      <w:r w:rsidRPr="00303F36">
        <w:rPr>
          <w:rFonts w:ascii="Arial" w:hAnsi="Arial" w:cs="Arial"/>
          <w:b/>
        </w:rPr>
        <w:t>Title:</w:t>
      </w:r>
      <w:r w:rsidRPr="00303F36">
        <w:rPr>
          <w:rFonts w:ascii="Arial" w:hAnsi="Arial" w:cs="Arial"/>
          <w:b/>
        </w:rPr>
        <w:tab/>
        <w:t xml:space="preserve">Adaptation of </w:t>
      </w:r>
      <w:bookmarkStart w:id="1" w:name="_Hlk157431130"/>
      <w:r w:rsidRPr="00303F36">
        <w:rPr>
          <w:rFonts w:ascii="Arial" w:hAnsi="Arial" w:cs="Arial"/>
          <w:b/>
        </w:rPr>
        <w:t xml:space="preserve">common signal/channel </w:t>
      </w:r>
      <w:bookmarkEnd w:id="1"/>
      <w:r w:rsidRPr="00303F36">
        <w:rPr>
          <w:rFonts w:ascii="Arial" w:hAnsi="Arial" w:cs="Arial"/>
          <w:b/>
        </w:rPr>
        <w:t>transmissions</w:t>
      </w:r>
      <w:r>
        <w:rPr>
          <w:rFonts w:ascii="Arial" w:hAnsi="Arial" w:cs="Arial"/>
          <w:b/>
        </w:rPr>
        <w:t xml:space="preserve"> for NES</w:t>
      </w:r>
    </w:p>
    <w:p w14:paraId="03DC27EB" w14:textId="77777777" w:rsidR="0059677F" w:rsidRPr="00303F36" w:rsidRDefault="0059677F" w:rsidP="0059677F">
      <w:pPr>
        <w:tabs>
          <w:tab w:val="left" w:pos="1701"/>
          <w:tab w:val="right" w:pos="9639"/>
        </w:tabs>
        <w:jc w:val="both"/>
        <w:rPr>
          <w:rFonts w:ascii="Arial" w:hAnsi="Arial" w:cs="Arial"/>
          <w:b/>
          <w:color w:val="FF0000"/>
        </w:rPr>
      </w:pPr>
      <w:r w:rsidRPr="00303F36">
        <w:rPr>
          <w:rFonts w:ascii="Arial" w:hAnsi="Arial" w:cs="Arial"/>
          <w:b/>
        </w:rPr>
        <w:t>Document for:</w:t>
      </w:r>
      <w:r w:rsidRPr="00303F36">
        <w:rPr>
          <w:rFonts w:ascii="Arial" w:hAnsi="Arial" w:cs="Arial"/>
          <w:b/>
        </w:rPr>
        <w:tab/>
        <w:t xml:space="preserve">Discussion </w:t>
      </w:r>
    </w:p>
    <w:p w14:paraId="2FF42429" w14:textId="77777777" w:rsidR="0059677F" w:rsidRPr="00303F36" w:rsidRDefault="0059677F" w:rsidP="0059677F">
      <w:pPr>
        <w:pStyle w:val="Heading1"/>
        <w:jc w:val="both"/>
        <w:rPr>
          <w:rFonts w:cs="Arial"/>
          <w:b/>
          <w:bCs/>
          <w:lang w:val="en-US"/>
        </w:rPr>
      </w:pPr>
      <w:r w:rsidRPr="00303F36">
        <w:rPr>
          <w:rFonts w:cs="Arial"/>
          <w:b/>
          <w:bCs/>
          <w:lang w:val="en-US"/>
        </w:rPr>
        <w:t>Introduction</w:t>
      </w:r>
    </w:p>
    <w:p w14:paraId="441BFECD" w14:textId="77777777" w:rsidR="0059677F" w:rsidRDefault="0059677F" w:rsidP="0059677F">
      <w:pPr>
        <w:spacing w:after="120"/>
        <w:jc w:val="both"/>
        <w:rPr>
          <w:rFonts w:ascii="Arial" w:hAnsi="Arial" w:cs="Arial"/>
        </w:rPr>
      </w:pPr>
      <w:r w:rsidRPr="00F95050">
        <w:rPr>
          <w:rFonts w:ascii="Arial" w:hAnsi="Arial" w:cs="Arial"/>
          <w:noProof/>
        </w:rPr>
        <mc:AlternateContent>
          <mc:Choice Requires="wps">
            <w:drawing>
              <wp:anchor distT="45720" distB="45720" distL="114300" distR="114300" simplePos="0" relativeHeight="251659264" behindDoc="0" locked="0" layoutInCell="1" allowOverlap="1" wp14:anchorId="35E75B63" wp14:editId="07A9C194">
                <wp:simplePos x="0" y="0"/>
                <wp:positionH relativeFrom="column">
                  <wp:posOffset>17780</wp:posOffset>
                </wp:positionH>
                <wp:positionV relativeFrom="paragraph">
                  <wp:posOffset>477520</wp:posOffset>
                </wp:positionV>
                <wp:extent cx="5976620" cy="1531620"/>
                <wp:effectExtent l="0" t="0" r="17780"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620" cy="1531620"/>
                        </a:xfrm>
                        <a:prstGeom prst="rect">
                          <a:avLst/>
                        </a:prstGeom>
                        <a:solidFill>
                          <a:srgbClr val="FFFFFF"/>
                        </a:solidFill>
                        <a:ln w="9525">
                          <a:solidFill>
                            <a:srgbClr val="000000"/>
                          </a:solidFill>
                          <a:miter lim="800000"/>
                          <a:headEnd/>
                          <a:tailEnd/>
                        </a:ln>
                      </wps:spPr>
                      <wps:txbx>
                        <w:txbxContent>
                          <w:p w14:paraId="443F11A7" w14:textId="77777777" w:rsidR="0059677F" w:rsidRPr="00D10E55" w:rsidRDefault="0059677F" w:rsidP="0059677F">
                            <w:pPr>
                              <w:pStyle w:val="ListParagraph"/>
                              <w:numPr>
                                <w:ilvl w:val="0"/>
                                <w:numId w:val="8"/>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42951F91" w14:textId="77777777" w:rsidR="0059677F" w:rsidRPr="00D10E55" w:rsidRDefault="0059677F" w:rsidP="0059677F">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6DE8C6BA" w14:textId="77777777" w:rsidR="0059677F" w:rsidRPr="00D10E55" w:rsidRDefault="0059677F" w:rsidP="0059677F">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161CD199" w14:textId="77777777" w:rsidR="0059677F" w:rsidRPr="00D10E55" w:rsidRDefault="0059677F" w:rsidP="0059677F">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Study adaptation of PRACH in spatial domain, e.g. non-uniform PRACH resources per SSB, and specify if found beneficial</w:t>
                            </w:r>
                          </w:p>
                          <w:p w14:paraId="6AA19027" w14:textId="77777777" w:rsidR="0059677F" w:rsidRPr="00F307E4" w:rsidRDefault="0059677F" w:rsidP="0059677F">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F307E4">
                              <w:rPr>
                                <w:rFonts w:ascii="Arial" w:eastAsia="SimSun" w:hAnsi="Arial" w:cs="Arial"/>
                                <w:bCs/>
                                <w:sz w:val="20"/>
                                <w:szCs w:val="20"/>
                                <w:lang w:eastAsia="en-GB"/>
                              </w:rPr>
                              <w:t>This study is to be done in 2Q’2024 only</w:t>
                            </w:r>
                          </w:p>
                          <w:p w14:paraId="53242380" w14:textId="77777777" w:rsidR="0059677F" w:rsidRPr="00D10E55" w:rsidRDefault="0059677F" w:rsidP="0059677F">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2C72BE97" w14:textId="77777777" w:rsidR="0059677F" w:rsidRPr="00D10E55" w:rsidRDefault="0059677F" w:rsidP="0059677F">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49067F92" w14:textId="77777777" w:rsidR="0059677F" w:rsidRPr="00F95050" w:rsidRDefault="0059677F" w:rsidP="0059677F">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35E75B63" id="_x0000_t202" coordsize="21600,21600" o:spt="202" path="m,l,21600r21600,l21600,xe">
                <v:stroke joinstyle="miter"/>
                <v:path gradientshapeok="t" o:connecttype="rect"/>
              </v:shapetype>
              <v:shape id="Text Box 217" o:spid="_x0000_s1026" type="#_x0000_t202" style="position:absolute;left:0;text-align:left;margin-left:1.4pt;margin-top:37.6pt;width:470.6pt;height:12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">
                <v:textbox style="mso-fit-shape-to-text:t">
                  <w:txbxContent>
                    <w:p w14:paraId="443F11A7" w14:textId="77777777" w:rsidR="0059677F" w:rsidRPr="00D10E55" w:rsidRDefault="0059677F" w:rsidP="0059677F">
                      <w:pPr>
                        <w:pStyle w:val="ListParagraph"/>
                        <w:numPr>
                          <w:ilvl w:val="0"/>
                          <w:numId w:val="8"/>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42951F91" w14:textId="77777777" w:rsidR="0059677F" w:rsidRPr="00D10E55" w:rsidRDefault="0059677F" w:rsidP="0059677F">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w:t>
                      </w:r>
                      <w:proofErr w:type="gramStart"/>
                      <w:r w:rsidRPr="00D10E55">
                        <w:rPr>
                          <w:rFonts w:ascii="Arial" w:eastAsia="SimSun" w:hAnsi="Arial" w:cs="Arial"/>
                          <w:bCs/>
                          <w:sz w:val="20"/>
                          <w:szCs w:val="20"/>
                          <w:lang w:eastAsia="en-GB"/>
                        </w:rPr>
                        <w:t>e.g.</w:t>
                      </w:r>
                      <w:proofErr w:type="gramEnd"/>
                      <w:r w:rsidRPr="00D10E55">
                        <w:rPr>
                          <w:rFonts w:ascii="Arial" w:eastAsia="SimSun" w:hAnsi="Arial" w:cs="Arial"/>
                          <w:bCs/>
                          <w:sz w:val="20"/>
                          <w:szCs w:val="20"/>
                          <w:lang w:eastAsia="en-GB"/>
                        </w:rPr>
                        <w:t xml:space="preserve"> adapting periodicity </w:t>
                      </w:r>
                    </w:p>
                    <w:p w14:paraId="6DE8C6BA" w14:textId="77777777" w:rsidR="0059677F" w:rsidRPr="00D10E55" w:rsidRDefault="0059677F" w:rsidP="0059677F">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161CD199" w14:textId="77777777" w:rsidR="0059677F" w:rsidRPr="00D10E55" w:rsidRDefault="0059677F" w:rsidP="0059677F">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Study adaptation of PRACH in spatial domain, </w:t>
                      </w:r>
                      <w:proofErr w:type="gramStart"/>
                      <w:r w:rsidRPr="00D10E55">
                        <w:rPr>
                          <w:rFonts w:ascii="Arial" w:eastAsia="SimSun" w:hAnsi="Arial" w:cs="Arial"/>
                          <w:bCs/>
                          <w:sz w:val="20"/>
                          <w:szCs w:val="20"/>
                          <w:lang w:eastAsia="en-GB"/>
                        </w:rPr>
                        <w:t>e.g.</w:t>
                      </w:r>
                      <w:proofErr w:type="gramEnd"/>
                      <w:r w:rsidRPr="00D10E55">
                        <w:rPr>
                          <w:rFonts w:ascii="Arial" w:eastAsia="SimSun" w:hAnsi="Arial" w:cs="Arial"/>
                          <w:bCs/>
                          <w:sz w:val="20"/>
                          <w:szCs w:val="20"/>
                          <w:lang w:eastAsia="en-GB"/>
                        </w:rPr>
                        <w:t xml:space="preserve"> non-uniform PRACH resources per SSB, and specify if found beneficial</w:t>
                      </w:r>
                    </w:p>
                    <w:p w14:paraId="6AA19027" w14:textId="77777777" w:rsidR="0059677F" w:rsidRPr="00F307E4" w:rsidRDefault="0059677F" w:rsidP="0059677F">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F307E4">
                        <w:rPr>
                          <w:rFonts w:ascii="Arial" w:eastAsia="SimSun" w:hAnsi="Arial" w:cs="Arial"/>
                          <w:bCs/>
                          <w:sz w:val="20"/>
                          <w:szCs w:val="20"/>
                          <w:lang w:eastAsia="en-GB"/>
                        </w:rPr>
                        <w:t xml:space="preserve">This study is to be done in 2Q’2024 </w:t>
                      </w:r>
                      <w:proofErr w:type="gramStart"/>
                      <w:r w:rsidRPr="00F307E4">
                        <w:rPr>
                          <w:rFonts w:ascii="Arial" w:eastAsia="SimSun" w:hAnsi="Arial" w:cs="Arial"/>
                          <w:bCs/>
                          <w:sz w:val="20"/>
                          <w:szCs w:val="20"/>
                          <w:lang w:eastAsia="en-GB"/>
                        </w:rPr>
                        <w:t>only</w:t>
                      </w:r>
                      <w:proofErr w:type="gramEnd"/>
                    </w:p>
                    <w:p w14:paraId="53242380" w14:textId="77777777" w:rsidR="0059677F" w:rsidRPr="00D10E55" w:rsidRDefault="0059677F" w:rsidP="0059677F">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2C72BE97" w14:textId="77777777" w:rsidR="0059677F" w:rsidRPr="00D10E55" w:rsidRDefault="0059677F" w:rsidP="0059677F">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49067F92" w14:textId="77777777" w:rsidR="0059677F" w:rsidRPr="00F95050" w:rsidRDefault="0059677F" w:rsidP="0059677F">
                      <w:pPr>
                        <w:numPr>
                          <w:ilvl w:val="0"/>
                          <w:numId w:val="5"/>
                        </w:numPr>
                        <w:overflowPunct w:val="0"/>
                        <w:autoSpaceDE w:val="0"/>
                        <w:autoSpaceDN w:val="0"/>
                        <w:adjustRightInd w:val="0"/>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v:textbox>
                <w10:wrap type="square"/>
              </v:shape>
            </w:pict>
          </mc:Fallback>
        </mc:AlternateContent>
      </w:r>
      <w:r>
        <w:rPr>
          <w:rFonts w:ascii="Arial" w:hAnsi="Arial" w:cs="Arial"/>
        </w:rPr>
        <w:t>According to</w:t>
      </w:r>
      <w:r w:rsidRPr="00303F36">
        <w:rPr>
          <w:rFonts w:ascii="Arial" w:hAnsi="Arial" w:cs="Arial"/>
        </w:rPr>
        <w:t xml:space="preserve"> Rel 19 WI on network energy savings (</w:t>
      </w:r>
      <w:r>
        <w:rPr>
          <w:rFonts w:ascii="Arial" w:hAnsi="Arial" w:cs="Arial"/>
        </w:rPr>
        <w:t xml:space="preserve">revised </w:t>
      </w:r>
      <w:r w:rsidRPr="00303F36">
        <w:rPr>
          <w:rFonts w:ascii="Arial" w:hAnsi="Arial" w:cs="Arial"/>
        </w:rPr>
        <w:t xml:space="preserve">WID in [1]), following </w:t>
      </w:r>
      <w:r>
        <w:rPr>
          <w:rFonts w:ascii="Arial" w:hAnsi="Arial" w:cs="Arial"/>
        </w:rPr>
        <w:t xml:space="preserve">is the </w:t>
      </w:r>
      <w:r w:rsidRPr="00303F36">
        <w:rPr>
          <w:rFonts w:ascii="Arial" w:hAnsi="Arial" w:cs="Arial"/>
        </w:rPr>
        <w:t>objective</w:t>
      </w:r>
      <w:r>
        <w:rPr>
          <w:rFonts w:ascii="Arial" w:hAnsi="Arial" w:cs="Arial"/>
        </w:rPr>
        <w:t xml:space="preserve"> for adaptation of common signal/channel transmissions.</w:t>
      </w:r>
      <w:r w:rsidRPr="00303F36">
        <w:rPr>
          <w:rFonts w:ascii="Arial" w:hAnsi="Arial" w:cs="Arial"/>
        </w:rPr>
        <w:t xml:space="preserve"> </w:t>
      </w:r>
    </w:p>
    <w:p w14:paraId="010AEA60" w14:textId="77777777" w:rsidR="0059677F" w:rsidRPr="00303F36" w:rsidRDefault="0059677F" w:rsidP="0059677F">
      <w:pPr>
        <w:overflowPunct w:val="0"/>
        <w:autoSpaceDE w:val="0"/>
        <w:autoSpaceDN w:val="0"/>
        <w:adjustRightInd w:val="0"/>
        <w:jc w:val="both"/>
        <w:textAlignment w:val="baseline"/>
        <w:rPr>
          <w:rFonts w:ascii="Arial" w:hAnsi="Arial" w:cs="Arial"/>
        </w:rPr>
      </w:pPr>
    </w:p>
    <w:p w14:paraId="1ACE0792" w14:textId="77777777" w:rsidR="0059677F" w:rsidRPr="00303F36" w:rsidRDefault="0059677F" w:rsidP="0059677F">
      <w:pPr>
        <w:spacing w:after="120"/>
        <w:jc w:val="both"/>
        <w:rPr>
          <w:rFonts w:ascii="Arial" w:hAnsi="Arial" w:cs="Arial"/>
          <w:lang w:eastAsia="ja-JP"/>
        </w:rPr>
      </w:pPr>
      <w:r w:rsidRPr="00303F36">
        <w:rPr>
          <w:rFonts w:ascii="Arial" w:hAnsi="Arial" w:cs="Arial"/>
          <w:lang w:eastAsia="ja-JP"/>
        </w:rPr>
        <w:t xml:space="preserve">In this </w:t>
      </w:r>
      <w:r>
        <w:rPr>
          <w:rFonts w:ascii="Arial" w:hAnsi="Arial" w:cs="Arial"/>
          <w:lang w:eastAsia="ja-JP"/>
        </w:rPr>
        <w:t>contribution</w:t>
      </w:r>
      <w:r w:rsidRPr="00303F36">
        <w:rPr>
          <w:rFonts w:ascii="Arial" w:hAnsi="Arial" w:cs="Arial"/>
          <w:lang w:eastAsia="ja-JP"/>
        </w:rPr>
        <w:t xml:space="preserve">, we provide </w:t>
      </w:r>
      <w:r>
        <w:rPr>
          <w:rFonts w:ascii="Arial" w:hAnsi="Arial" w:cs="Arial"/>
          <w:lang w:eastAsia="ja-JP"/>
        </w:rPr>
        <w:t xml:space="preserve">our views and proposals </w:t>
      </w:r>
      <w:r w:rsidRPr="00303F36">
        <w:rPr>
          <w:rFonts w:ascii="Arial" w:hAnsi="Arial" w:cs="Arial"/>
          <w:lang w:eastAsia="ja-JP"/>
        </w:rPr>
        <w:t xml:space="preserve">for the </w:t>
      </w:r>
      <w:r>
        <w:rPr>
          <w:rFonts w:ascii="Arial" w:hAnsi="Arial" w:cs="Arial"/>
          <w:color w:val="212529"/>
          <w:shd w:val="clear" w:color="auto" w:fill="FFFFFF"/>
        </w:rPr>
        <w:t>above</w:t>
      </w:r>
      <w:r w:rsidRPr="00303F36">
        <w:rPr>
          <w:rFonts w:ascii="Arial" w:hAnsi="Arial" w:cs="Arial"/>
          <w:color w:val="212529"/>
          <w:shd w:val="clear" w:color="auto" w:fill="FFFFFF"/>
        </w:rPr>
        <w:t> </w:t>
      </w:r>
      <w:r w:rsidRPr="00303F36">
        <w:rPr>
          <w:rFonts w:ascii="Arial" w:hAnsi="Arial" w:cs="Arial"/>
          <w:lang w:eastAsia="ja-JP"/>
        </w:rPr>
        <w:t xml:space="preserve">objective. </w:t>
      </w:r>
    </w:p>
    <w:p w14:paraId="6D052356" w14:textId="77777777" w:rsidR="0059677F" w:rsidRPr="00303F36" w:rsidRDefault="0059677F" w:rsidP="0059677F">
      <w:pPr>
        <w:pStyle w:val="Heading1"/>
        <w:jc w:val="both"/>
        <w:rPr>
          <w:rFonts w:cs="Arial"/>
          <w:b/>
          <w:bCs/>
          <w:lang w:val="en-US"/>
        </w:rPr>
      </w:pPr>
      <w:r w:rsidRPr="00303F36">
        <w:rPr>
          <w:rFonts w:cs="Arial"/>
          <w:b/>
          <w:bCs/>
          <w:lang w:val="en-US"/>
        </w:rPr>
        <w:t>Discussion</w:t>
      </w:r>
    </w:p>
    <w:p w14:paraId="79298187" w14:textId="77777777" w:rsidR="0059677F" w:rsidRDefault="0059677F" w:rsidP="0059677F">
      <w:pPr>
        <w:spacing w:after="120"/>
        <w:jc w:val="both"/>
        <w:rPr>
          <w:rFonts w:ascii="Arial" w:hAnsi="Arial" w:cs="Arial"/>
        </w:rPr>
      </w:pPr>
      <w:r>
        <w:rPr>
          <w:rFonts w:ascii="Arial" w:hAnsi="Arial" w:cs="Arial"/>
        </w:rPr>
        <w:t xml:space="preserve">The following aspects are discussed in this section. </w:t>
      </w:r>
    </w:p>
    <w:p w14:paraId="485B1433" w14:textId="77777777" w:rsidR="0059677F" w:rsidRPr="00A503EF" w:rsidRDefault="0059677F" w:rsidP="0059677F">
      <w:pPr>
        <w:pStyle w:val="ListParagraph"/>
        <w:numPr>
          <w:ilvl w:val="0"/>
          <w:numId w:val="9"/>
        </w:numPr>
        <w:spacing w:after="120"/>
        <w:jc w:val="both"/>
        <w:rPr>
          <w:rFonts w:ascii="Arial" w:hAnsi="Arial" w:cs="Arial"/>
          <w:lang w:eastAsia="en-US"/>
        </w:rPr>
      </w:pPr>
      <w:r w:rsidRPr="00A503EF">
        <w:rPr>
          <w:rFonts w:ascii="Arial" w:hAnsi="Arial" w:cs="Arial"/>
          <w:lang w:eastAsia="en-US"/>
        </w:rPr>
        <w:t xml:space="preserve">Adaptation of SSB </w:t>
      </w:r>
    </w:p>
    <w:p w14:paraId="6922C19D" w14:textId="77777777" w:rsidR="0059677F" w:rsidRDefault="0059677F" w:rsidP="0059677F">
      <w:pPr>
        <w:pStyle w:val="ListParagraph"/>
        <w:numPr>
          <w:ilvl w:val="0"/>
          <w:numId w:val="9"/>
        </w:numPr>
        <w:spacing w:after="120"/>
        <w:jc w:val="both"/>
        <w:rPr>
          <w:rFonts w:ascii="Arial" w:hAnsi="Arial" w:cs="Arial"/>
          <w:lang w:eastAsia="en-US"/>
        </w:rPr>
      </w:pPr>
      <w:r w:rsidRPr="002D627E">
        <w:rPr>
          <w:rFonts w:ascii="Arial" w:hAnsi="Arial" w:cs="Arial"/>
          <w:lang w:eastAsia="en-US"/>
        </w:rPr>
        <w:t>Adaptation</w:t>
      </w:r>
      <w:r w:rsidRPr="002932A4">
        <w:rPr>
          <w:rFonts w:ascii="Arial" w:hAnsi="Arial" w:cs="Arial"/>
          <w:lang w:eastAsia="en-US"/>
        </w:rPr>
        <w:t xml:space="preserve"> of PRACH </w:t>
      </w:r>
      <w:r>
        <w:rPr>
          <w:rFonts w:ascii="Arial" w:hAnsi="Arial" w:cs="Arial"/>
          <w:lang w:eastAsia="en-US"/>
        </w:rPr>
        <w:t>in time domain</w:t>
      </w:r>
    </w:p>
    <w:p w14:paraId="756AA31C" w14:textId="77777777" w:rsidR="0059677F" w:rsidRPr="002932A4" w:rsidRDefault="0059677F" w:rsidP="0059677F">
      <w:pPr>
        <w:pStyle w:val="ListParagraph"/>
        <w:numPr>
          <w:ilvl w:val="0"/>
          <w:numId w:val="9"/>
        </w:numPr>
        <w:spacing w:after="120"/>
        <w:jc w:val="both"/>
        <w:rPr>
          <w:rFonts w:ascii="Arial" w:hAnsi="Arial" w:cs="Arial"/>
          <w:lang w:eastAsia="en-US"/>
        </w:rPr>
      </w:pPr>
      <w:r>
        <w:rPr>
          <w:rFonts w:ascii="Arial" w:hAnsi="Arial" w:cs="Arial"/>
          <w:lang w:eastAsia="en-US"/>
        </w:rPr>
        <w:t>Study of adaptation of PRACH in spatial domain</w:t>
      </w:r>
    </w:p>
    <w:p w14:paraId="17006BC6" w14:textId="77777777" w:rsidR="0059677F" w:rsidRDefault="0059677F" w:rsidP="0059677F">
      <w:pPr>
        <w:pStyle w:val="ListParagraph"/>
        <w:numPr>
          <w:ilvl w:val="0"/>
          <w:numId w:val="9"/>
        </w:numPr>
        <w:spacing w:after="120"/>
        <w:jc w:val="both"/>
        <w:rPr>
          <w:rFonts w:ascii="Arial" w:hAnsi="Arial" w:cs="Arial"/>
          <w:lang w:eastAsia="en-US"/>
        </w:rPr>
      </w:pPr>
      <w:r w:rsidRPr="00A503EF">
        <w:rPr>
          <w:rFonts w:ascii="Arial" w:hAnsi="Arial" w:cs="Arial"/>
          <w:lang w:eastAsia="en-US"/>
        </w:rPr>
        <w:t xml:space="preserve">Adaptation of </w:t>
      </w:r>
      <w:r>
        <w:rPr>
          <w:rFonts w:ascii="Arial" w:hAnsi="Arial" w:cs="Arial"/>
          <w:lang w:eastAsia="en-US"/>
        </w:rPr>
        <w:t>p</w:t>
      </w:r>
      <w:r w:rsidRPr="00A503EF">
        <w:rPr>
          <w:rFonts w:ascii="Arial" w:hAnsi="Arial" w:cs="Arial"/>
          <w:lang w:eastAsia="en-US"/>
        </w:rPr>
        <w:t xml:space="preserve">aging </w:t>
      </w:r>
    </w:p>
    <w:p w14:paraId="0633557D" w14:textId="77777777" w:rsidR="0059677F" w:rsidRPr="00303F36" w:rsidRDefault="0059677F" w:rsidP="0059677F">
      <w:pPr>
        <w:spacing w:after="120"/>
        <w:jc w:val="both"/>
        <w:rPr>
          <w:rFonts w:ascii="Arial" w:hAnsi="Arial" w:cs="Arial"/>
        </w:rPr>
      </w:pPr>
    </w:p>
    <w:p w14:paraId="7A63459E" w14:textId="77777777" w:rsidR="0059677F" w:rsidRDefault="0059677F" w:rsidP="0059677F">
      <w:pPr>
        <w:pStyle w:val="Heading2"/>
        <w:jc w:val="both"/>
        <w:rPr>
          <w:rFonts w:ascii="Arial" w:hAnsi="Arial" w:cs="Arial"/>
          <w:b/>
          <w:bCs/>
          <w:color w:val="auto"/>
          <w:lang w:val="en-GB"/>
        </w:rPr>
      </w:pPr>
      <w:r w:rsidRPr="00303F36">
        <w:rPr>
          <w:rFonts w:ascii="Arial" w:hAnsi="Arial" w:cs="Arial"/>
          <w:b/>
          <w:bCs/>
          <w:color w:val="auto"/>
          <w:lang w:val="en-GB"/>
        </w:rPr>
        <w:t xml:space="preserve">Adaptation of SSB </w:t>
      </w:r>
    </w:p>
    <w:p w14:paraId="4A959639" w14:textId="20FEA22E" w:rsidR="00BB12C2" w:rsidRDefault="00BB12C2" w:rsidP="00BB12C2">
      <w:pPr>
        <w:spacing w:beforeLines="100" w:before="240" w:afterLines="100" w:after="240"/>
        <w:jc w:val="both"/>
        <w:rPr>
          <w:rFonts w:ascii="Arial" w:hAnsi="Arial" w:cs="Arial"/>
        </w:rPr>
      </w:pPr>
      <w:r w:rsidRPr="00FE61C2">
        <w:rPr>
          <w:rFonts w:ascii="Arial" w:hAnsi="Arial" w:cs="Arial"/>
          <w:lang w:eastAsia="zh-CN"/>
        </w:rPr>
        <w:t>Below</w:t>
      </w:r>
      <w:r>
        <w:rPr>
          <w:rFonts w:ascii="Arial" w:hAnsi="Arial" w:cs="Arial"/>
        </w:rPr>
        <w:t xml:space="preserve"> agreement was made in RAN1#116bis regarding adaptation mechanism of SSB and scenarios.</w:t>
      </w:r>
    </w:p>
    <w:p w14:paraId="76795799" w14:textId="77777777" w:rsidR="00BB12C2" w:rsidRDefault="00BB12C2" w:rsidP="00BB12C2">
      <w:pPr>
        <w:rPr>
          <w:rFonts w:ascii="Times" w:eastAsia="Batang" w:hAnsi="Times"/>
          <w:b/>
          <w:bCs/>
          <w:highlight w:val="green"/>
          <w:lang w:eastAsia="x-none"/>
        </w:rPr>
      </w:pPr>
      <w:r>
        <w:rPr>
          <w:rFonts w:ascii="Times" w:eastAsia="Batang" w:hAnsi="Times"/>
          <w:b/>
          <w:bCs/>
          <w:highlight w:val="green"/>
          <w:lang w:eastAsia="x-none"/>
        </w:rPr>
        <w:t>Agreement</w:t>
      </w:r>
    </w:p>
    <w:p w14:paraId="28228EB5" w14:textId="77777777" w:rsidR="00BB12C2" w:rsidRDefault="00BB12C2" w:rsidP="00BB12C2">
      <w:pPr>
        <w:rPr>
          <w:rFonts w:eastAsia="Batang"/>
          <w:lang w:eastAsia="x-none"/>
        </w:rPr>
      </w:pPr>
      <w:r>
        <w:rPr>
          <w:rFonts w:eastAsia="Batang"/>
          <w:lang w:eastAsia="x-none"/>
        </w:rPr>
        <w:t xml:space="preserve">Adaptation mechanism(s) of SSB in time-domain is supported at least for one of the following scenario(s): </w:t>
      </w:r>
    </w:p>
    <w:p w14:paraId="50C96EA0" w14:textId="77777777" w:rsidR="00BB12C2" w:rsidRDefault="00BB12C2" w:rsidP="00BB12C2">
      <w:pPr>
        <w:numPr>
          <w:ilvl w:val="0"/>
          <w:numId w:val="14"/>
        </w:numPr>
        <w:autoSpaceDN w:val="0"/>
        <w:spacing w:line="256" w:lineRule="auto"/>
        <w:ind w:left="720"/>
        <w:rPr>
          <w:rFonts w:eastAsia="Batang"/>
          <w:lang w:eastAsia="x-none"/>
        </w:rPr>
      </w:pPr>
      <w:r>
        <w:rPr>
          <w:rFonts w:eastAsia="Batang"/>
          <w:lang w:eastAsia="x-none"/>
        </w:rPr>
        <w:t xml:space="preserve">For cell with both legacy UEs and Rel-19 NES-capable UEs </w:t>
      </w:r>
    </w:p>
    <w:p w14:paraId="5AA5C4CB" w14:textId="77777777" w:rsidR="00BB12C2" w:rsidRDefault="00BB12C2" w:rsidP="00BB12C2">
      <w:pPr>
        <w:numPr>
          <w:ilvl w:val="1"/>
          <w:numId w:val="14"/>
        </w:numPr>
        <w:autoSpaceDN w:val="0"/>
        <w:spacing w:line="256" w:lineRule="auto"/>
        <w:ind w:left="1440"/>
        <w:rPr>
          <w:rFonts w:eastAsia="Batang"/>
          <w:lang w:eastAsia="x-none"/>
        </w:rPr>
      </w:pPr>
      <w:r>
        <w:rPr>
          <w:rFonts w:eastAsia="Batang"/>
          <w:lang w:eastAsia="x-none"/>
        </w:rPr>
        <w:t xml:space="preserve">Rel-19 NES-capable UE’s PCell (Connected mode) </w:t>
      </w:r>
    </w:p>
    <w:p w14:paraId="247B8354" w14:textId="77777777" w:rsidR="00BB12C2" w:rsidRDefault="00BB12C2" w:rsidP="00BB12C2">
      <w:pPr>
        <w:numPr>
          <w:ilvl w:val="2"/>
          <w:numId w:val="14"/>
        </w:numPr>
        <w:autoSpaceDN w:val="0"/>
        <w:spacing w:line="256" w:lineRule="auto"/>
        <w:ind w:left="2160"/>
        <w:rPr>
          <w:rFonts w:eastAsia="Batang"/>
          <w:lang w:eastAsia="x-none"/>
        </w:rPr>
      </w:pPr>
      <w:r>
        <w:rPr>
          <w:rFonts w:eastAsia="Batang"/>
          <w:lang w:eastAsia="x-none"/>
        </w:rPr>
        <w:t>Study from the following options:</w:t>
      </w:r>
    </w:p>
    <w:p w14:paraId="3169F05A" w14:textId="77777777" w:rsidR="00BB12C2" w:rsidRDefault="00BB12C2" w:rsidP="00BB12C2">
      <w:pPr>
        <w:numPr>
          <w:ilvl w:val="3"/>
          <w:numId w:val="14"/>
        </w:numPr>
        <w:autoSpaceDN w:val="0"/>
        <w:spacing w:line="256" w:lineRule="auto"/>
        <w:ind w:left="2880"/>
        <w:rPr>
          <w:rFonts w:eastAsia="Batang"/>
          <w:lang w:eastAsia="x-none"/>
        </w:rPr>
      </w:pPr>
      <w:r>
        <w:rPr>
          <w:rFonts w:eastAsia="Batang"/>
          <w:lang w:eastAsia="x-none"/>
        </w:rPr>
        <w:t>Option A1: adaptation for CD-SSB</w:t>
      </w:r>
    </w:p>
    <w:p w14:paraId="4836876F" w14:textId="77777777" w:rsidR="00BB12C2" w:rsidRDefault="00BB12C2" w:rsidP="00BB12C2">
      <w:pPr>
        <w:numPr>
          <w:ilvl w:val="3"/>
          <w:numId w:val="14"/>
        </w:numPr>
        <w:autoSpaceDN w:val="0"/>
        <w:spacing w:line="256" w:lineRule="auto"/>
        <w:ind w:left="2880"/>
        <w:rPr>
          <w:rFonts w:eastAsia="Batang"/>
          <w:lang w:eastAsia="x-none"/>
        </w:rPr>
      </w:pPr>
      <w:r>
        <w:rPr>
          <w:rFonts w:eastAsia="Batang"/>
          <w:lang w:eastAsia="x-none"/>
        </w:rPr>
        <w:t>Option A2: adaptation for SSB that is not CD-SSB</w:t>
      </w:r>
    </w:p>
    <w:p w14:paraId="6EF685E3" w14:textId="77777777" w:rsidR="00BB12C2" w:rsidRDefault="00BB12C2" w:rsidP="00BB12C2">
      <w:pPr>
        <w:numPr>
          <w:ilvl w:val="3"/>
          <w:numId w:val="14"/>
        </w:numPr>
        <w:autoSpaceDN w:val="0"/>
        <w:spacing w:line="256" w:lineRule="auto"/>
        <w:ind w:left="2880"/>
        <w:rPr>
          <w:rFonts w:eastAsia="Batang"/>
          <w:lang w:eastAsia="x-none"/>
        </w:rPr>
      </w:pPr>
      <w:r>
        <w:rPr>
          <w:rFonts w:eastAsia="Batang"/>
          <w:lang w:eastAsia="x-none"/>
        </w:rPr>
        <w:t>Option A3: adaptation for SSB not on sync raster</w:t>
      </w:r>
    </w:p>
    <w:p w14:paraId="027B4A22" w14:textId="77777777" w:rsidR="00BB12C2" w:rsidRDefault="00BB12C2" w:rsidP="00BB12C2">
      <w:pPr>
        <w:numPr>
          <w:ilvl w:val="1"/>
          <w:numId w:val="14"/>
        </w:numPr>
        <w:autoSpaceDN w:val="0"/>
        <w:spacing w:line="256" w:lineRule="auto"/>
        <w:ind w:left="1440"/>
        <w:rPr>
          <w:rFonts w:eastAsia="Batang"/>
          <w:lang w:eastAsia="x-none"/>
        </w:rPr>
      </w:pPr>
      <w:bookmarkStart w:id="2" w:name="_Hlk166228367"/>
      <w:r>
        <w:rPr>
          <w:rFonts w:eastAsia="Batang"/>
          <w:lang w:eastAsia="x-none"/>
        </w:rPr>
        <w:lastRenderedPageBreak/>
        <w:t xml:space="preserve">Rel-19 NES-capable UE’s SCell </w:t>
      </w:r>
      <w:bookmarkEnd w:id="2"/>
    </w:p>
    <w:p w14:paraId="4ED7A6C9" w14:textId="77777777" w:rsidR="00BB12C2" w:rsidRDefault="00BB12C2" w:rsidP="00BB12C2">
      <w:pPr>
        <w:numPr>
          <w:ilvl w:val="2"/>
          <w:numId w:val="14"/>
        </w:numPr>
        <w:autoSpaceDN w:val="0"/>
        <w:spacing w:line="256" w:lineRule="auto"/>
        <w:ind w:left="2160"/>
        <w:rPr>
          <w:rFonts w:eastAsia="Batang"/>
          <w:lang w:eastAsia="x-none"/>
        </w:rPr>
      </w:pPr>
      <w:r>
        <w:rPr>
          <w:rFonts w:eastAsia="Batang"/>
          <w:lang w:eastAsia="x-none"/>
        </w:rPr>
        <w:t>Study from the following options:</w:t>
      </w:r>
    </w:p>
    <w:p w14:paraId="42263BD9" w14:textId="77777777" w:rsidR="00BB12C2" w:rsidRDefault="00BB12C2" w:rsidP="00BB12C2">
      <w:pPr>
        <w:numPr>
          <w:ilvl w:val="3"/>
          <w:numId w:val="14"/>
        </w:numPr>
        <w:autoSpaceDN w:val="0"/>
        <w:spacing w:line="256" w:lineRule="auto"/>
        <w:ind w:left="2880"/>
        <w:rPr>
          <w:rFonts w:eastAsia="Batang"/>
          <w:lang w:eastAsia="x-none"/>
        </w:rPr>
      </w:pPr>
      <w:r>
        <w:rPr>
          <w:rFonts w:eastAsia="Batang"/>
          <w:lang w:eastAsia="x-none"/>
        </w:rPr>
        <w:t>Option B1: adaptation for CD-SSB</w:t>
      </w:r>
    </w:p>
    <w:p w14:paraId="4FD2C19B" w14:textId="77777777" w:rsidR="00BB12C2" w:rsidRDefault="00BB12C2" w:rsidP="00BB12C2">
      <w:pPr>
        <w:numPr>
          <w:ilvl w:val="3"/>
          <w:numId w:val="14"/>
        </w:numPr>
        <w:autoSpaceDN w:val="0"/>
        <w:spacing w:line="256" w:lineRule="auto"/>
        <w:ind w:left="2880"/>
        <w:rPr>
          <w:rFonts w:eastAsia="Batang"/>
          <w:lang w:eastAsia="x-none"/>
        </w:rPr>
      </w:pPr>
      <w:r>
        <w:rPr>
          <w:rFonts w:eastAsia="Batang"/>
          <w:lang w:eastAsia="x-none"/>
        </w:rPr>
        <w:t>Option B2: adaptation for SSB that is not CD-SSB</w:t>
      </w:r>
    </w:p>
    <w:p w14:paraId="635A45FA" w14:textId="77777777" w:rsidR="00BB12C2" w:rsidRDefault="00BB12C2" w:rsidP="00BB12C2">
      <w:pPr>
        <w:numPr>
          <w:ilvl w:val="3"/>
          <w:numId w:val="14"/>
        </w:numPr>
        <w:autoSpaceDN w:val="0"/>
        <w:spacing w:line="256" w:lineRule="auto"/>
        <w:ind w:left="2880"/>
        <w:rPr>
          <w:rFonts w:eastAsia="Batang"/>
          <w:lang w:eastAsia="x-none"/>
        </w:rPr>
      </w:pPr>
      <w:r>
        <w:rPr>
          <w:rFonts w:eastAsia="Batang"/>
          <w:lang w:eastAsia="x-none"/>
        </w:rPr>
        <w:t>Option B3: adaptation for SSB not on sync raster</w:t>
      </w:r>
    </w:p>
    <w:p w14:paraId="193B6C87" w14:textId="77777777" w:rsidR="00BB12C2" w:rsidRDefault="00BB12C2" w:rsidP="00BB12C2">
      <w:pPr>
        <w:numPr>
          <w:ilvl w:val="1"/>
          <w:numId w:val="14"/>
        </w:numPr>
        <w:autoSpaceDN w:val="0"/>
        <w:spacing w:line="256" w:lineRule="auto"/>
        <w:ind w:left="1440"/>
        <w:rPr>
          <w:rFonts w:eastAsia="Batang"/>
          <w:lang w:eastAsia="x-none"/>
        </w:rPr>
      </w:pPr>
      <w:r>
        <w:rPr>
          <w:rFonts w:eastAsia="Batang"/>
          <w:lang w:eastAsia="x-none"/>
        </w:rPr>
        <w:t>FFS: Rel-19 NES-capable UE in idle/inactive mode</w:t>
      </w:r>
    </w:p>
    <w:p w14:paraId="17BF2F51" w14:textId="77777777" w:rsidR="00BB12C2" w:rsidRDefault="00BB12C2" w:rsidP="00BB12C2">
      <w:pPr>
        <w:numPr>
          <w:ilvl w:val="0"/>
          <w:numId w:val="14"/>
        </w:numPr>
        <w:autoSpaceDN w:val="0"/>
        <w:spacing w:line="256" w:lineRule="auto"/>
        <w:ind w:left="720"/>
        <w:rPr>
          <w:rFonts w:eastAsia="Batang"/>
          <w:lang w:eastAsia="x-none"/>
        </w:rPr>
      </w:pPr>
      <w:r>
        <w:rPr>
          <w:rFonts w:eastAsia="Batang"/>
          <w:lang w:eastAsia="x-none"/>
        </w:rPr>
        <w:t xml:space="preserve">Note: Impact to idle/inactive UEs shall be minimized </w:t>
      </w:r>
    </w:p>
    <w:p w14:paraId="4D72BADB" w14:textId="77777777" w:rsidR="0059677F" w:rsidRDefault="0059677F" w:rsidP="0059677F">
      <w:pPr>
        <w:spacing w:beforeLines="100" w:before="240" w:afterLines="100" w:after="240"/>
        <w:jc w:val="both"/>
        <w:rPr>
          <w:rFonts w:ascii="Arial" w:hAnsi="Arial" w:cs="Arial"/>
        </w:rPr>
      </w:pPr>
      <w:r>
        <w:rPr>
          <w:rFonts w:ascii="Arial" w:hAnsi="Arial" w:cs="Arial"/>
        </w:rPr>
        <w:t xml:space="preserve">In current NR, SSBs are always on-transmissions, and their periodicity can be changed semi-statically. Legacy UE performing initial access on a cell may assume a default SSB periodicity of 20ms. While most other transmission activities (e.g. SIB1, etc) can be minimized (e.g. periodicity of 160ms or larger), SSB transmissions on such cells must continue every 20ms even when the cell has no/light traffic, consuming NW energy. Being able to adapt SSB periodicity (Figure 1) or skipping SSB transmissions on certain occasions can save NW energy. </w:t>
      </w:r>
    </w:p>
    <w:p w14:paraId="45773229" w14:textId="77777777" w:rsidR="0059677F" w:rsidRDefault="0059677F" w:rsidP="0059677F">
      <w:pPr>
        <w:keepNext/>
        <w:spacing w:beforeLines="100" w:before="240" w:afterLines="100" w:after="240"/>
        <w:jc w:val="center"/>
      </w:pPr>
      <w:r>
        <w:rPr>
          <w:rFonts w:ascii="Arial" w:eastAsia="DengXian" w:hAnsi="Arial" w:cs="Arial"/>
          <w:noProof/>
        </w:rPr>
        <w:drawing>
          <wp:inline distT="0" distB="0" distL="0" distR="0" wp14:anchorId="167411BA" wp14:editId="7DD8C091">
            <wp:extent cx="4151376" cy="18836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1376" cy="1883664"/>
                    </a:xfrm>
                    <a:prstGeom prst="rect">
                      <a:avLst/>
                    </a:prstGeom>
                    <a:noFill/>
                  </pic:spPr>
                </pic:pic>
              </a:graphicData>
            </a:graphic>
          </wp:inline>
        </w:drawing>
      </w:r>
    </w:p>
    <w:p w14:paraId="08CC1721" w14:textId="128A909D" w:rsidR="0059677F" w:rsidRPr="00752F67" w:rsidRDefault="0059677F" w:rsidP="0059677F">
      <w:pPr>
        <w:pStyle w:val="Caption"/>
        <w:jc w:val="center"/>
        <w:rPr>
          <w:rFonts w:ascii="Arial" w:eastAsia="DengXian" w:hAnsi="Arial" w:cs="Arial"/>
        </w:rPr>
      </w:pPr>
      <w:r>
        <w:t xml:space="preserve">Figure </w:t>
      </w:r>
      <w:r w:rsidR="00A73279">
        <w:fldChar w:fldCharType="begin"/>
      </w:r>
      <w:r w:rsidR="00A73279">
        <w:instrText xml:space="preserve"> SEQ Figure \* ARABIC </w:instrText>
      </w:r>
      <w:r w:rsidR="00A73279">
        <w:fldChar w:fldCharType="separate"/>
      </w:r>
      <w:r w:rsidR="00170133">
        <w:rPr>
          <w:noProof/>
        </w:rPr>
        <w:t>1</w:t>
      </w:r>
      <w:r w:rsidR="00A73279">
        <w:rPr>
          <w:noProof/>
        </w:rPr>
        <w:fldChar w:fldCharType="end"/>
      </w:r>
      <w:r>
        <w:t xml:space="preserve">. </w:t>
      </w:r>
      <w:r w:rsidRPr="00752F67">
        <w:t xml:space="preserve">An example of adaptation of SSB periodicity. </w:t>
      </w:r>
    </w:p>
    <w:p w14:paraId="18A0045D" w14:textId="77777777" w:rsidR="0059677F" w:rsidRDefault="0059677F" w:rsidP="0059677F">
      <w:pPr>
        <w:spacing w:beforeLines="100" w:before="240" w:afterLines="100" w:after="240"/>
        <w:jc w:val="both"/>
        <w:rPr>
          <w:rFonts w:ascii="Arial" w:hAnsi="Arial" w:cs="Arial"/>
        </w:rPr>
      </w:pPr>
      <w:r>
        <w:rPr>
          <w:rFonts w:ascii="Arial" w:hAnsi="Arial" w:cs="Arial"/>
        </w:rPr>
        <w:t>The TR 38.864 (in [2]) captures the evaluation results for adaptation of SSB periodicity (and other common signals/channel) as part of technique A-1. It shows that significant NW energy savings gain be obtained by SSB periodicity adaptation. Such gain by adapting SSB periodicity from 20ms to 40 ms is also demonstrated in below Figure 2. The set-up assumes that the other transmissions/receptions are minimized (e.g., SIB1/PRACH is 160ms) to show the full potential of the SSB adaptation.</w:t>
      </w:r>
    </w:p>
    <w:p w14:paraId="4DD4202D" w14:textId="77777777" w:rsidR="0059677F" w:rsidRDefault="0059677F" w:rsidP="00F82DF9">
      <w:pPr>
        <w:keepNext/>
        <w:spacing w:beforeLines="100" w:before="240" w:afterLines="100" w:after="240"/>
        <w:jc w:val="center"/>
      </w:pPr>
      <w:r>
        <w:rPr>
          <w:noProof/>
          <w:sz w:val="16"/>
          <w:szCs w:val="16"/>
        </w:rPr>
        <w:drawing>
          <wp:inline distT="0" distB="0" distL="0" distR="0" wp14:anchorId="7F607D1F" wp14:editId="69AC32C5">
            <wp:extent cx="4663440" cy="2350008"/>
            <wp:effectExtent l="0" t="0" r="3810" b="0"/>
            <wp:docPr id="2" name="Picture 2" descr="A graph of energy profi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energy profil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63440" cy="2350008"/>
                    </a:xfrm>
                    <a:prstGeom prst="rect">
                      <a:avLst/>
                    </a:prstGeom>
                  </pic:spPr>
                </pic:pic>
              </a:graphicData>
            </a:graphic>
          </wp:inline>
        </w:drawing>
      </w:r>
    </w:p>
    <w:p w14:paraId="5DE3479F" w14:textId="36709C70" w:rsidR="0059677F" w:rsidRDefault="0059677F" w:rsidP="0059677F">
      <w:pPr>
        <w:pStyle w:val="Caption"/>
        <w:jc w:val="center"/>
        <w:rPr>
          <w:rFonts w:ascii="Arial" w:hAnsi="Arial" w:cs="Arial"/>
        </w:rPr>
      </w:pPr>
      <w:r>
        <w:t xml:space="preserve">Figure </w:t>
      </w:r>
      <w:r w:rsidR="00A73279">
        <w:fldChar w:fldCharType="begin"/>
      </w:r>
      <w:r w:rsidR="00A73279">
        <w:instrText xml:space="preserve"> SEQ Figure \* ARABIC </w:instrText>
      </w:r>
      <w:r w:rsidR="00A73279">
        <w:fldChar w:fldCharType="separate"/>
      </w:r>
      <w:r w:rsidR="00170133">
        <w:rPr>
          <w:noProof/>
        </w:rPr>
        <w:t>2</w:t>
      </w:r>
      <w:r w:rsidR="00A73279">
        <w:rPr>
          <w:noProof/>
        </w:rPr>
        <w:fldChar w:fldCharType="end"/>
      </w:r>
      <w:r>
        <w:t xml:space="preserve">. </w:t>
      </w:r>
      <w:r w:rsidRPr="002D639A">
        <w:rPr>
          <w:rFonts w:ascii="Arial" w:eastAsia="DengXian" w:hAnsi="Arial" w:cs="Arial"/>
        </w:rPr>
        <w:t xml:space="preserve">NW energy </w:t>
      </w:r>
      <w:r w:rsidRPr="0053596B">
        <w:rPr>
          <w:rFonts w:ascii="Arial" w:eastAsia="DengXian" w:hAnsi="Arial" w:cs="Arial"/>
        </w:rPr>
        <w:t>saving</w:t>
      </w:r>
      <w:r w:rsidRPr="002D639A">
        <w:rPr>
          <w:rFonts w:ascii="Arial" w:eastAsia="DengXian" w:hAnsi="Arial" w:cs="Arial"/>
        </w:rPr>
        <w:t xml:space="preserve"> (NES) when SSB periodicity is increased from 20ms to 40ms</w:t>
      </w:r>
      <w:r w:rsidRPr="0053596B">
        <w:rPr>
          <w:rFonts w:ascii="Arial" w:eastAsia="DengXian" w:hAnsi="Arial" w:cs="Arial"/>
        </w:rPr>
        <w:t>.</w:t>
      </w:r>
    </w:p>
    <w:p w14:paraId="733F8077" w14:textId="77777777" w:rsidR="0059677F" w:rsidRDefault="0059677F" w:rsidP="0059677F">
      <w:pPr>
        <w:spacing w:beforeLines="100" w:before="240" w:afterLines="100" w:after="240"/>
        <w:jc w:val="both"/>
        <w:rPr>
          <w:rFonts w:ascii="Arial" w:eastAsia="DengXian" w:hAnsi="Arial" w:cs="Arial"/>
        </w:rPr>
      </w:pPr>
      <w:r>
        <w:rPr>
          <w:rFonts w:ascii="Arial" w:eastAsia="DengXian" w:hAnsi="Arial" w:cs="Arial"/>
        </w:rPr>
        <w:lastRenderedPageBreak/>
        <w:t xml:space="preserve">Being able to dynamically adapt SSB periodicity allows opportunities for NW energy savings. For UEs in connected mode, explicit L1 signaling can be used to inform UEs of the periodicity/occasions where they can assume presence of SSBs on a cell. Legacy UEs may not be able to use such a carrier. </w:t>
      </w:r>
    </w:p>
    <w:p w14:paraId="66305009" w14:textId="77777777" w:rsidR="0059677F" w:rsidRDefault="0059677F" w:rsidP="0059677F">
      <w:pPr>
        <w:pStyle w:val="Observation"/>
        <w:numPr>
          <w:ilvl w:val="0"/>
          <w:numId w:val="3"/>
        </w:numPr>
        <w:ind w:left="1560" w:hanging="1560"/>
      </w:pPr>
      <w:bookmarkStart w:id="3" w:name="_Toc166252115"/>
      <w:r w:rsidRPr="004175D4">
        <w:t>Dynamic adaptation of SSB periodicity provides additional network energy savings</w:t>
      </w:r>
      <w:r>
        <w:t xml:space="preserve">, </w:t>
      </w:r>
      <w:r w:rsidRPr="004175D4">
        <w:t>e.g., 16% when SSB periodicity changes from 20ms to 40ms.</w:t>
      </w:r>
      <w:bookmarkEnd w:id="3"/>
    </w:p>
    <w:p w14:paraId="667B5E61" w14:textId="77777777" w:rsidR="0059677F" w:rsidRPr="004175D4" w:rsidRDefault="0059677F" w:rsidP="0059677F">
      <w:pPr>
        <w:pStyle w:val="Observation"/>
        <w:numPr>
          <w:ilvl w:val="0"/>
          <w:numId w:val="3"/>
        </w:numPr>
        <w:ind w:left="1560" w:hanging="1560"/>
      </w:pPr>
      <w:bookmarkStart w:id="4" w:name="_Toc159001457"/>
      <w:bookmarkStart w:id="5" w:name="_Toc159001458"/>
      <w:bookmarkStart w:id="6" w:name="_Toc159001459"/>
      <w:bookmarkStart w:id="7" w:name="_Toc159001460"/>
      <w:bookmarkStart w:id="8" w:name="_Toc159001461"/>
      <w:bookmarkStart w:id="9" w:name="_Toc159001462"/>
      <w:bookmarkStart w:id="10" w:name="_Toc159001463"/>
      <w:bookmarkStart w:id="11" w:name="_Toc159001466"/>
      <w:bookmarkStart w:id="12" w:name="_Toc159001467"/>
      <w:bookmarkStart w:id="13" w:name="_Toc159001468"/>
      <w:bookmarkStart w:id="14" w:name="_Toc166252116"/>
      <w:bookmarkStart w:id="15" w:name="_Hlk158755746"/>
      <w:bookmarkEnd w:id="4"/>
      <w:bookmarkEnd w:id="5"/>
      <w:bookmarkEnd w:id="6"/>
      <w:bookmarkEnd w:id="7"/>
      <w:bookmarkEnd w:id="8"/>
      <w:bookmarkEnd w:id="9"/>
      <w:bookmarkEnd w:id="10"/>
      <w:bookmarkEnd w:id="11"/>
      <w:bookmarkEnd w:id="12"/>
      <w:bookmarkEnd w:id="13"/>
      <w:r w:rsidRPr="004175D4">
        <w:t>When dynamic adaptation of SSB periodicity is used for a carrier, legacy UEs may not be able to use the carrier.</w:t>
      </w:r>
      <w:bookmarkEnd w:id="14"/>
    </w:p>
    <w:p w14:paraId="25E0ABC5" w14:textId="110DA721" w:rsidR="0059677F" w:rsidRDefault="0059677F" w:rsidP="0059677F">
      <w:pPr>
        <w:spacing w:beforeLines="100" w:before="240" w:afterLines="100" w:after="240"/>
        <w:jc w:val="both"/>
        <w:rPr>
          <w:rFonts w:ascii="Arial" w:eastAsia="DengXian" w:hAnsi="Arial" w:cs="Arial"/>
        </w:rPr>
      </w:pPr>
      <w:r w:rsidRPr="00752F67">
        <w:rPr>
          <w:rFonts w:ascii="Arial" w:eastAsia="DengXian" w:hAnsi="Arial" w:cs="Arial"/>
        </w:rPr>
        <w:t>Since SSB is always-on transmission, reducing SSB transmissions can provide significant energy savings. It should be possible to apply this mechanism as widely as possible</w:t>
      </w:r>
      <w:r>
        <w:rPr>
          <w:rFonts w:ascii="Arial" w:eastAsia="DengXian" w:hAnsi="Arial" w:cs="Arial"/>
        </w:rPr>
        <w:t xml:space="preserve"> including for idle/inactive as well as for PCell/SCells.</w:t>
      </w:r>
      <w:r w:rsidRPr="00752F67">
        <w:rPr>
          <w:rFonts w:ascii="Arial" w:eastAsia="DengXian" w:hAnsi="Arial" w:cs="Arial"/>
        </w:rPr>
        <w:t xml:space="preserve"> </w:t>
      </w:r>
      <w:r>
        <w:rPr>
          <w:rFonts w:ascii="Arial" w:eastAsia="DengXian" w:hAnsi="Arial" w:cs="Arial"/>
        </w:rPr>
        <w:t xml:space="preserve">The design can </w:t>
      </w:r>
      <w:r w:rsidRPr="00752F67">
        <w:rPr>
          <w:rFonts w:ascii="Arial" w:eastAsia="DengXian" w:hAnsi="Arial" w:cs="Arial"/>
        </w:rPr>
        <w:t>ensur</w:t>
      </w:r>
      <w:r>
        <w:rPr>
          <w:rFonts w:ascii="Arial" w:eastAsia="DengXian" w:hAnsi="Arial" w:cs="Arial"/>
        </w:rPr>
        <w:t>e</w:t>
      </w:r>
      <w:r w:rsidRPr="00752F67">
        <w:rPr>
          <w:rFonts w:ascii="Arial" w:eastAsia="DengXian" w:hAnsi="Arial" w:cs="Arial"/>
        </w:rPr>
        <w:t xml:space="preserve"> that SSBs can be made available accordingly when needed for the UE</w:t>
      </w:r>
      <w:r>
        <w:rPr>
          <w:rFonts w:ascii="Arial" w:eastAsia="DengXian" w:hAnsi="Arial" w:cs="Arial"/>
        </w:rPr>
        <w:t xml:space="preserve"> (e.g. by switching between sparse and dense SSBs, etc)</w:t>
      </w:r>
      <w:r w:rsidRPr="00752F67">
        <w:rPr>
          <w:rFonts w:ascii="Arial" w:eastAsia="DengXian" w:hAnsi="Arial" w:cs="Arial"/>
        </w:rPr>
        <w:t xml:space="preserve">. </w:t>
      </w:r>
    </w:p>
    <w:p w14:paraId="4CCD8A93" w14:textId="4F23080D" w:rsidR="00BB12C2" w:rsidRPr="008177BD" w:rsidRDefault="00BB12C2" w:rsidP="00BB12C2">
      <w:pPr>
        <w:spacing w:beforeLines="100" w:before="240" w:afterLines="100" w:after="240"/>
        <w:jc w:val="both"/>
        <w:rPr>
          <w:rFonts w:ascii="Arial" w:eastAsia="DengXian" w:hAnsi="Arial" w:cs="Arial"/>
        </w:rPr>
      </w:pPr>
      <w:r>
        <w:rPr>
          <w:rFonts w:ascii="Arial" w:eastAsia="DengXian" w:hAnsi="Arial" w:cs="Arial"/>
        </w:rPr>
        <w:t>For</w:t>
      </w:r>
      <w:r w:rsidRPr="008177BD">
        <w:rPr>
          <w:rFonts w:ascii="Arial" w:eastAsia="DengXian" w:hAnsi="Arial" w:cs="Arial"/>
        </w:rPr>
        <w:t xml:space="preserve"> RRC idle/inactive, note that already in legacy specifications, a non-initial-access cell may have SSB periodicity of 160ms: </w:t>
      </w:r>
    </w:p>
    <w:p w14:paraId="044A111B" w14:textId="77777777" w:rsidR="00BB12C2" w:rsidRPr="00180168" w:rsidRDefault="00BB12C2" w:rsidP="00BB12C2">
      <w:pPr>
        <w:pStyle w:val="BodyText"/>
        <w:overflowPunct w:val="0"/>
        <w:autoSpaceDE w:val="0"/>
        <w:autoSpaceDN w:val="0"/>
        <w:adjustRightInd w:val="0"/>
        <w:ind w:left="567"/>
        <w:jc w:val="both"/>
        <w:textAlignment w:val="baseline"/>
        <w:rPr>
          <w:rFonts w:ascii="Arial" w:hAnsi="Arial"/>
          <w:sz w:val="16"/>
          <w:szCs w:val="16"/>
        </w:rPr>
      </w:pPr>
      <w:r w:rsidRPr="00180168">
        <w:rPr>
          <w:rFonts w:ascii="Arial" w:eastAsia="Times New Roman" w:hAnsi="Arial"/>
          <w:sz w:val="16"/>
          <w:szCs w:val="16"/>
        </w:rPr>
        <w:t xml:space="preserve">SSB-MTC2-LP-r16 ::= SEQUENCE { </w:t>
      </w:r>
    </w:p>
    <w:p w14:paraId="287EFB46" w14:textId="77777777" w:rsidR="00BB12C2" w:rsidRPr="00180168" w:rsidRDefault="00BB12C2" w:rsidP="00BB12C2">
      <w:pPr>
        <w:pStyle w:val="BodyText"/>
        <w:overflowPunct w:val="0"/>
        <w:autoSpaceDE w:val="0"/>
        <w:autoSpaceDN w:val="0"/>
        <w:adjustRightInd w:val="0"/>
        <w:ind w:left="567" w:firstLine="567"/>
        <w:jc w:val="both"/>
        <w:textAlignment w:val="baseline"/>
        <w:rPr>
          <w:rFonts w:ascii="Arial" w:hAnsi="Arial"/>
          <w:sz w:val="16"/>
          <w:szCs w:val="16"/>
        </w:rPr>
      </w:pPr>
      <w:r w:rsidRPr="00180168">
        <w:rPr>
          <w:rFonts w:ascii="Arial" w:eastAsia="Times New Roman" w:hAnsi="Arial"/>
          <w:sz w:val="16"/>
          <w:szCs w:val="16"/>
        </w:rPr>
        <w:t xml:space="preserve">pci-List SEQUENCE (SIZE (1..maxNrofPCIsPerSMTC)) OF PhysCellId OPTIONAL, -- Need R </w:t>
      </w:r>
    </w:p>
    <w:p w14:paraId="2A7A6454" w14:textId="77777777" w:rsidR="00BB12C2" w:rsidRPr="00180168" w:rsidRDefault="00BB12C2" w:rsidP="00BB12C2">
      <w:pPr>
        <w:pStyle w:val="BodyText"/>
        <w:overflowPunct w:val="0"/>
        <w:autoSpaceDE w:val="0"/>
        <w:autoSpaceDN w:val="0"/>
        <w:adjustRightInd w:val="0"/>
        <w:ind w:left="567" w:firstLine="567"/>
        <w:jc w:val="both"/>
        <w:textAlignment w:val="baseline"/>
        <w:rPr>
          <w:rFonts w:ascii="Arial" w:hAnsi="Arial"/>
          <w:sz w:val="16"/>
          <w:szCs w:val="16"/>
        </w:rPr>
      </w:pPr>
      <w:r w:rsidRPr="00180168">
        <w:rPr>
          <w:rFonts w:ascii="Arial" w:eastAsia="Times New Roman" w:hAnsi="Arial"/>
          <w:sz w:val="16"/>
          <w:szCs w:val="16"/>
          <w:lang w:val="it-IT"/>
        </w:rPr>
        <w:t xml:space="preserve">periodicity ENUMERATED {sf10, sf20, sf40, sf80, </w:t>
      </w:r>
      <w:r w:rsidRPr="00FE61C2">
        <w:rPr>
          <w:rFonts w:ascii="Arial" w:eastAsia="Times New Roman" w:hAnsi="Arial"/>
          <w:sz w:val="16"/>
          <w:szCs w:val="16"/>
          <w:highlight w:val="cyan"/>
          <w:lang w:val="it-IT"/>
        </w:rPr>
        <w:t>sf160</w:t>
      </w:r>
      <w:r w:rsidRPr="00180168">
        <w:rPr>
          <w:rFonts w:ascii="Arial" w:eastAsia="Times New Roman" w:hAnsi="Arial"/>
          <w:sz w:val="16"/>
          <w:szCs w:val="16"/>
          <w:lang w:val="it-IT"/>
        </w:rPr>
        <w:t xml:space="preserve">, spare3, spare2, spare1} </w:t>
      </w:r>
    </w:p>
    <w:p w14:paraId="3467B153" w14:textId="77777777" w:rsidR="00BB12C2" w:rsidRPr="00180168" w:rsidRDefault="00BB12C2" w:rsidP="00BB12C2">
      <w:pPr>
        <w:pStyle w:val="BodyText"/>
        <w:overflowPunct w:val="0"/>
        <w:autoSpaceDE w:val="0"/>
        <w:autoSpaceDN w:val="0"/>
        <w:adjustRightInd w:val="0"/>
        <w:ind w:left="567"/>
        <w:jc w:val="both"/>
        <w:textAlignment w:val="baseline"/>
        <w:rPr>
          <w:rFonts w:ascii="Arial" w:hAnsi="Arial"/>
          <w:sz w:val="16"/>
          <w:szCs w:val="16"/>
        </w:rPr>
      </w:pPr>
      <w:r w:rsidRPr="00180168">
        <w:rPr>
          <w:rFonts w:ascii="Arial" w:eastAsia="Times New Roman" w:hAnsi="Arial"/>
          <w:sz w:val="16"/>
          <w:szCs w:val="16"/>
        </w:rPr>
        <w:t xml:space="preserve">} </w:t>
      </w:r>
    </w:p>
    <w:p w14:paraId="090A8995" w14:textId="77777777" w:rsidR="00BB12C2" w:rsidRPr="008177BD" w:rsidRDefault="00BB12C2" w:rsidP="00BB12C2">
      <w:pPr>
        <w:spacing w:beforeLines="100" w:before="240" w:afterLines="100" w:after="240"/>
        <w:jc w:val="both"/>
        <w:rPr>
          <w:rFonts w:ascii="Arial" w:eastAsia="DengXian" w:hAnsi="Arial" w:cs="Arial"/>
        </w:rPr>
      </w:pPr>
      <w:r w:rsidRPr="008177BD">
        <w:rPr>
          <w:rFonts w:ascii="Arial" w:eastAsia="DengXian" w:hAnsi="Arial" w:cs="Arial"/>
        </w:rPr>
        <w:t xml:space="preserve">For example, </w:t>
      </w:r>
      <w:r>
        <w:rPr>
          <w:rFonts w:ascii="Arial" w:eastAsia="DengXian" w:hAnsi="Arial" w:cs="Arial"/>
        </w:rPr>
        <w:t xml:space="preserve">as illustrated in </w:t>
      </w:r>
      <w:r>
        <w:rPr>
          <w:rFonts w:ascii="Arial" w:eastAsia="DengXian" w:hAnsi="Arial" w:cs="Arial"/>
        </w:rPr>
        <w:fldChar w:fldCharType="begin"/>
      </w:r>
      <w:r>
        <w:rPr>
          <w:rFonts w:ascii="Arial" w:eastAsia="DengXian" w:hAnsi="Arial" w:cs="Arial"/>
        </w:rPr>
        <w:instrText xml:space="preserve"> REF _Ref165981816 \h  \* MERGEFORMAT </w:instrText>
      </w:r>
      <w:r>
        <w:rPr>
          <w:rFonts w:ascii="Arial" w:eastAsia="DengXian" w:hAnsi="Arial" w:cs="Arial"/>
        </w:rPr>
      </w:r>
      <w:r>
        <w:rPr>
          <w:rFonts w:ascii="Arial" w:eastAsia="DengXian" w:hAnsi="Arial" w:cs="Arial"/>
        </w:rPr>
        <w:fldChar w:fldCharType="separate"/>
      </w:r>
      <w:r w:rsidRPr="008177BD">
        <w:rPr>
          <w:rFonts w:ascii="Arial" w:eastAsia="DengXian" w:hAnsi="Arial" w:cs="Arial"/>
        </w:rPr>
        <w:t>Figure 3</w:t>
      </w:r>
      <w:r>
        <w:rPr>
          <w:rFonts w:ascii="Arial" w:eastAsia="DengXian" w:hAnsi="Arial" w:cs="Arial"/>
        </w:rPr>
        <w:fldChar w:fldCharType="end"/>
      </w:r>
      <w:r>
        <w:rPr>
          <w:rFonts w:ascii="Arial" w:eastAsia="DengXian" w:hAnsi="Arial" w:cs="Arial"/>
        </w:rPr>
        <w:t xml:space="preserve">, </w:t>
      </w:r>
      <w:r w:rsidRPr="008177BD">
        <w:rPr>
          <w:rFonts w:ascii="Arial" w:eastAsia="DengXian" w:hAnsi="Arial" w:cs="Arial"/>
        </w:rPr>
        <w:t xml:space="preserve">if a capacity cell is overlapped by a coverage cell, the SSB rate of the capacity cell may be every 160ms while the UE will be able to find the overlapping coverage cell for initial access as it is providing SSBs every 20ms. Then through neighbor cell information (SSB-MTC2-LP) provided by the coverage cell the UE may reselect to the low-rate SSB capacity cell. </w:t>
      </w:r>
    </w:p>
    <w:p w14:paraId="54C9C4C0" w14:textId="58A0BA78" w:rsidR="00055FAC" w:rsidRDefault="00F34BED" w:rsidP="00055FAC">
      <w:pPr>
        <w:pStyle w:val="BodyText"/>
        <w:keepNext/>
      </w:pPr>
      <w:r>
        <w:rPr>
          <w:noProof/>
        </w:rPr>
        <w:drawing>
          <wp:inline distT="0" distB="0" distL="0" distR="0" wp14:anchorId="419CDDAA" wp14:editId="5C30D679">
            <wp:extent cx="6123940" cy="1238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3940" cy="1238250"/>
                    </a:xfrm>
                    <a:prstGeom prst="rect">
                      <a:avLst/>
                    </a:prstGeom>
                    <a:noFill/>
                  </pic:spPr>
                </pic:pic>
              </a:graphicData>
            </a:graphic>
          </wp:inline>
        </w:drawing>
      </w:r>
    </w:p>
    <w:p w14:paraId="42E495E0" w14:textId="733B8376" w:rsidR="00BB12C2" w:rsidRDefault="00055FAC" w:rsidP="00FE61C2">
      <w:pPr>
        <w:pStyle w:val="Caption"/>
      </w:pPr>
      <w:r>
        <w:t xml:space="preserve">Figure </w:t>
      </w:r>
      <w:r w:rsidR="00A73279">
        <w:fldChar w:fldCharType="begin"/>
      </w:r>
      <w:r w:rsidR="00A73279">
        <w:instrText xml:space="preserve"> SE</w:instrText>
      </w:r>
      <w:r w:rsidR="00A73279">
        <w:instrText xml:space="preserve">Q Figure \* ARABIC </w:instrText>
      </w:r>
      <w:r w:rsidR="00A73279">
        <w:fldChar w:fldCharType="separate"/>
      </w:r>
      <w:r w:rsidR="00170133">
        <w:rPr>
          <w:noProof/>
        </w:rPr>
        <w:t>3</w:t>
      </w:r>
      <w:r w:rsidR="00A73279">
        <w:rPr>
          <w:noProof/>
        </w:rPr>
        <w:fldChar w:fldCharType="end"/>
      </w:r>
      <w:r w:rsidR="00BB12C2">
        <w:t xml:space="preserve">: </w:t>
      </w:r>
      <w:r w:rsidR="00BB12C2" w:rsidRPr="00A257CB">
        <w:t>Deployment according to legacy specifications in which a coverage cell providing initial access functionality provides SSB every 20ms, while the overlapped capacity cell (non-initial-access) provides SSBs every 160ms</w:t>
      </w:r>
      <w:r w:rsidR="00BB12C2">
        <w:t>.</w:t>
      </w:r>
    </w:p>
    <w:p w14:paraId="5108EEC1" w14:textId="4852953A" w:rsidR="00BB12C2" w:rsidRDefault="00BB12C2" w:rsidP="00BB12C2">
      <w:pPr>
        <w:pStyle w:val="Observation"/>
        <w:overflowPunct w:val="0"/>
        <w:autoSpaceDE w:val="0"/>
        <w:autoSpaceDN w:val="0"/>
        <w:adjustRightInd w:val="0"/>
        <w:spacing w:line="240" w:lineRule="auto"/>
        <w:ind w:left="1701" w:hanging="1701"/>
        <w:textAlignment w:val="baseline"/>
      </w:pPr>
      <w:bookmarkStart w:id="16" w:name="_Toc165984149"/>
      <w:bookmarkStart w:id="17" w:name="_Toc166252117"/>
      <w:r>
        <w:t>In legacy specifications the periodicity of SSB can be 160ms for non-initial-access cells.</w:t>
      </w:r>
      <w:bookmarkEnd w:id="16"/>
      <w:bookmarkEnd w:id="17"/>
      <w:r>
        <w:t xml:space="preserve"> </w:t>
      </w:r>
    </w:p>
    <w:p w14:paraId="52441F7D" w14:textId="1046316C" w:rsidR="00BB12C2" w:rsidRPr="00AC6692" w:rsidRDefault="00055FAC" w:rsidP="00BB12C2">
      <w:pPr>
        <w:spacing w:beforeLines="100" w:before="240" w:afterLines="100" w:after="240"/>
        <w:jc w:val="both"/>
        <w:rPr>
          <w:rFonts w:ascii="Arial" w:eastAsia="DengXian" w:hAnsi="Arial" w:cs="Arial"/>
        </w:rPr>
      </w:pPr>
      <w:r>
        <w:rPr>
          <w:rFonts w:ascii="Arial" w:eastAsia="DengXian" w:hAnsi="Arial" w:cs="Arial"/>
        </w:rPr>
        <w:t>For such case,</w:t>
      </w:r>
      <w:r w:rsidR="00BB12C2" w:rsidRPr="00AC6692">
        <w:rPr>
          <w:rFonts w:ascii="Arial" w:eastAsia="DengXian" w:hAnsi="Arial" w:cs="Arial"/>
        </w:rPr>
        <w:t xml:space="preserve"> SSB adaptation for Rel-19 UEs in RRC </w:t>
      </w:r>
      <w:r w:rsidR="00332245">
        <w:rPr>
          <w:rFonts w:ascii="Arial" w:eastAsia="DengXian" w:hAnsi="Arial" w:cs="Arial"/>
        </w:rPr>
        <w:t>i</w:t>
      </w:r>
      <w:r w:rsidR="00BB12C2" w:rsidRPr="00AC6692">
        <w:rPr>
          <w:rFonts w:ascii="Arial" w:eastAsia="DengXian" w:hAnsi="Arial" w:cs="Arial"/>
        </w:rPr>
        <w:t>dle/</w:t>
      </w:r>
      <w:r w:rsidR="00332245">
        <w:rPr>
          <w:rFonts w:ascii="Arial" w:eastAsia="DengXian" w:hAnsi="Arial" w:cs="Arial"/>
        </w:rPr>
        <w:t>i</w:t>
      </w:r>
      <w:r w:rsidR="00BB12C2" w:rsidRPr="00AC6692">
        <w:rPr>
          <w:rFonts w:ascii="Arial" w:eastAsia="DengXian" w:hAnsi="Arial" w:cs="Arial"/>
        </w:rPr>
        <w:t>nactive</w:t>
      </w:r>
      <w:r>
        <w:rPr>
          <w:rFonts w:ascii="Arial" w:eastAsia="DengXian" w:hAnsi="Arial" w:cs="Arial"/>
        </w:rPr>
        <w:t xml:space="preserve"> can be applied</w:t>
      </w:r>
      <w:r w:rsidR="00BB12C2" w:rsidRPr="00AC6692">
        <w:rPr>
          <w:rFonts w:ascii="Arial" w:eastAsia="DengXian" w:hAnsi="Arial" w:cs="Arial"/>
        </w:rPr>
        <w:t xml:space="preserve">, </w:t>
      </w:r>
      <w:r>
        <w:rPr>
          <w:rFonts w:ascii="Arial" w:eastAsia="DengXian" w:hAnsi="Arial" w:cs="Arial"/>
        </w:rPr>
        <w:t xml:space="preserve">by providing </w:t>
      </w:r>
      <w:r w:rsidR="00BB12C2" w:rsidRPr="00AC6692">
        <w:rPr>
          <w:rFonts w:ascii="Arial" w:eastAsia="DengXian" w:hAnsi="Arial" w:cs="Arial"/>
        </w:rPr>
        <w:t>additional SSBs (in addition to a base SSB) prior to the POs which the UE may choose to perform measurements</w:t>
      </w:r>
      <w:r w:rsidR="00320C9D">
        <w:rPr>
          <w:rFonts w:ascii="Arial" w:eastAsia="DengXian" w:hAnsi="Arial" w:cs="Arial"/>
        </w:rPr>
        <w:t>/PO processing</w:t>
      </w:r>
      <w:r w:rsidR="00BB12C2" w:rsidRPr="00AC6692">
        <w:rPr>
          <w:rFonts w:ascii="Arial" w:eastAsia="DengXian" w:hAnsi="Arial" w:cs="Arial"/>
        </w:rPr>
        <w:t xml:space="preserve"> </w:t>
      </w:r>
      <w:r w:rsidR="00BB12C2">
        <w:rPr>
          <w:rFonts w:ascii="Arial" w:eastAsia="DengXian" w:hAnsi="Arial" w:cs="Arial"/>
        </w:rPr>
        <w:t>as illustrated in</w:t>
      </w:r>
      <w:r>
        <w:rPr>
          <w:noProof/>
        </w:rPr>
        <w:t xml:space="preserve"> </w:t>
      </w:r>
      <w:r>
        <w:rPr>
          <w:noProof/>
        </w:rPr>
        <w:fldChar w:fldCharType="begin"/>
      </w:r>
      <w:r>
        <w:rPr>
          <w:noProof/>
        </w:rPr>
        <w:instrText xml:space="preserve"> REF _Ref166227693 \h </w:instrText>
      </w:r>
      <w:r>
        <w:rPr>
          <w:noProof/>
        </w:rPr>
      </w:r>
      <w:r>
        <w:rPr>
          <w:noProof/>
        </w:rPr>
        <w:fldChar w:fldCharType="separate"/>
      </w:r>
      <w:r>
        <w:t xml:space="preserve">Figure </w:t>
      </w:r>
      <w:r>
        <w:rPr>
          <w:noProof/>
        </w:rPr>
        <w:t>4</w:t>
      </w:r>
      <w:r>
        <w:rPr>
          <w:noProof/>
        </w:rPr>
        <w:fldChar w:fldCharType="end"/>
      </w:r>
      <w:r w:rsidR="00BB12C2" w:rsidRPr="00AC6692">
        <w:rPr>
          <w:rFonts w:ascii="Arial" w:eastAsia="DengXian" w:hAnsi="Arial" w:cs="Arial"/>
        </w:rPr>
        <w:t xml:space="preserve">. Through such scheme, it would then become </w:t>
      </w:r>
      <w:r>
        <w:rPr>
          <w:rFonts w:ascii="Arial" w:eastAsia="DengXian" w:hAnsi="Arial" w:cs="Arial"/>
        </w:rPr>
        <w:t xml:space="preserve">more </w:t>
      </w:r>
      <w:r w:rsidR="00320C9D">
        <w:rPr>
          <w:rFonts w:ascii="Arial" w:eastAsia="DengXian" w:hAnsi="Arial" w:cs="Arial"/>
        </w:rPr>
        <w:t>beneficial</w:t>
      </w:r>
      <w:r w:rsidR="00320C9D" w:rsidRPr="00AC6692">
        <w:rPr>
          <w:rFonts w:ascii="Arial" w:eastAsia="DengXian" w:hAnsi="Arial" w:cs="Arial"/>
        </w:rPr>
        <w:t xml:space="preserve"> </w:t>
      </w:r>
      <w:r w:rsidR="00BB12C2" w:rsidRPr="00AC6692">
        <w:rPr>
          <w:rFonts w:ascii="Arial" w:eastAsia="DengXian" w:hAnsi="Arial" w:cs="Arial"/>
        </w:rPr>
        <w:t xml:space="preserve">to deploy cells providing SSBs at low rate. Hence, </w:t>
      </w:r>
      <w:r w:rsidR="00332245">
        <w:rPr>
          <w:rFonts w:ascii="Arial" w:eastAsia="DengXian" w:hAnsi="Arial" w:cs="Arial"/>
        </w:rPr>
        <w:t xml:space="preserve">for </w:t>
      </w:r>
      <w:r w:rsidR="00332245" w:rsidRPr="00AC6692">
        <w:rPr>
          <w:rFonts w:ascii="Arial" w:eastAsia="DengXian" w:hAnsi="Arial" w:cs="Arial"/>
        </w:rPr>
        <w:t xml:space="preserve">RRC </w:t>
      </w:r>
      <w:r w:rsidR="00332245">
        <w:rPr>
          <w:rFonts w:ascii="Arial" w:eastAsia="DengXian" w:hAnsi="Arial" w:cs="Arial"/>
        </w:rPr>
        <w:t>i</w:t>
      </w:r>
      <w:r w:rsidR="00332245" w:rsidRPr="00AC6692">
        <w:rPr>
          <w:rFonts w:ascii="Arial" w:eastAsia="DengXian" w:hAnsi="Arial" w:cs="Arial"/>
        </w:rPr>
        <w:t>dle/inactive</w:t>
      </w:r>
      <w:r w:rsidR="00332245">
        <w:rPr>
          <w:rFonts w:ascii="Arial" w:eastAsia="DengXian" w:hAnsi="Arial" w:cs="Arial"/>
        </w:rPr>
        <w:t xml:space="preserve">, </w:t>
      </w:r>
      <w:r w:rsidR="00BB12C2" w:rsidRPr="00AC6692">
        <w:rPr>
          <w:rFonts w:ascii="Arial" w:eastAsia="DengXian" w:hAnsi="Arial" w:cs="Arial"/>
        </w:rPr>
        <w:t xml:space="preserve">we think that adaptation </w:t>
      </w:r>
      <w:r w:rsidR="00320C9D">
        <w:rPr>
          <w:rFonts w:ascii="Arial" w:eastAsia="DengXian" w:hAnsi="Arial" w:cs="Arial"/>
        </w:rPr>
        <w:t>of</w:t>
      </w:r>
      <w:r w:rsidR="00320C9D" w:rsidRPr="00AC6692">
        <w:rPr>
          <w:rFonts w:ascii="Arial" w:eastAsia="DengXian" w:hAnsi="Arial" w:cs="Arial"/>
        </w:rPr>
        <w:t xml:space="preserve"> </w:t>
      </w:r>
      <w:r w:rsidR="00BB12C2" w:rsidRPr="00AC6692">
        <w:rPr>
          <w:rFonts w:ascii="Arial" w:eastAsia="DengXian" w:hAnsi="Arial" w:cs="Arial"/>
        </w:rPr>
        <w:t>SSBs in non-initial-access cells should be supported.</w:t>
      </w:r>
    </w:p>
    <w:p w14:paraId="67E7A95A" w14:textId="7945D190" w:rsidR="00055FAC" w:rsidRDefault="00F34BED" w:rsidP="00055FAC">
      <w:pPr>
        <w:pStyle w:val="BodyText"/>
        <w:keepNext/>
      </w:pPr>
      <w:r>
        <w:rPr>
          <w:noProof/>
        </w:rPr>
        <w:drawing>
          <wp:inline distT="0" distB="0" distL="0" distR="0" wp14:anchorId="6C938D77" wp14:editId="4822F504">
            <wp:extent cx="5394960" cy="138988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4960" cy="1389888"/>
                    </a:xfrm>
                    <a:prstGeom prst="rect">
                      <a:avLst/>
                    </a:prstGeom>
                    <a:noFill/>
                  </pic:spPr>
                </pic:pic>
              </a:graphicData>
            </a:graphic>
          </wp:inline>
        </w:drawing>
      </w:r>
    </w:p>
    <w:p w14:paraId="2C2EDCD7" w14:textId="6C998EE6" w:rsidR="00BB12C2" w:rsidRPr="00180168" w:rsidRDefault="00055FAC" w:rsidP="00FE61C2">
      <w:pPr>
        <w:pStyle w:val="Caption"/>
        <w:rPr>
          <w:rFonts w:asciiTheme="minorBidi" w:hAnsiTheme="minorBidi"/>
        </w:rPr>
      </w:pPr>
      <w:bookmarkStart w:id="18" w:name="_Ref166227693"/>
      <w:bookmarkStart w:id="19" w:name="_Ref166227666"/>
      <w:r>
        <w:t xml:space="preserve">Figure </w:t>
      </w:r>
      <w:r w:rsidR="00A73279">
        <w:fldChar w:fldCharType="begin"/>
      </w:r>
      <w:r w:rsidR="00A73279">
        <w:instrText xml:space="preserve"> SEQ Figure \* ARABIC </w:instrText>
      </w:r>
      <w:r w:rsidR="00A73279">
        <w:fldChar w:fldCharType="separate"/>
      </w:r>
      <w:r w:rsidR="00170133">
        <w:rPr>
          <w:noProof/>
        </w:rPr>
        <w:t>4</w:t>
      </w:r>
      <w:r w:rsidR="00A73279">
        <w:rPr>
          <w:noProof/>
        </w:rPr>
        <w:fldChar w:fldCharType="end"/>
      </w:r>
      <w:bookmarkEnd w:id="18"/>
      <w:r w:rsidR="00BB12C2">
        <w:rPr>
          <w:rFonts w:asciiTheme="minorBidi" w:hAnsiTheme="minorBidi"/>
        </w:rPr>
        <w:t xml:space="preserve">: Timeline of RRC </w:t>
      </w:r>
      <w:r w:rsidR="00332245">
        <w:rPr>
          <w:rFonts w:asciiTheme="minorBidi" w:hAnsiTheme="minorBidi"/>
        </w:rPr>
        <w:t>i</w:t>
      </w:r>
      <w:r w:rsidR="00BB12C2">
        <w:rPr>
          <w:rFonts w:asciiTheme="minorBidi" w:hAnsiTheme="minorBidi"/>
        </w:rPr>
        <w:t>dle/</w:t>
      </w:r>
      <w:r w:rsidR="00DA3384">
        <w:rPr>
          <w:rFonts w:asciiTheme="minorBidi" w:hAnsiTheme="minorBidi"/>
        </w:rPr>
        <w:t>i</w:t>
      </w:r>
      <w:r w:rsidR="00BB12C2">
        <w:rPr>
          <w:rFonts w:asciiTheme="minorBidi" w:hAnsiTheme="minorBidi"/>
        </w:rPr>
        <w:t xml:space="preserve">nactive UE </w:t>
      </w:r>
      <w:r>
        <w:rPr>
          <w:rFonts w:asciiTheme="minorBidi" w:hAnsiTheme="minorBidi"/>
        </w:rPr>
        <w:t>that</w:t>
      </w:r>
      <w:r w:rsidR="00BB12C2">
        <w:rPr>
          <w:rFonts w:asciiTheme="minorBidi" w:hAnsiTheme="minorBidi"/>
        </w:rPr>
        <w:t xml:space="preserve"> need</w:t>
      </w:r>
      <w:r>
        <w:rPr>
          <w:rFonts w:asciiTheme="minorBidi" w:hAnsiTheme="minorBidi"/>
        </w:rPr>
        <w:t>s</w:t>
      </w:r>
      <w:r w:rsidR="00BB12C2">
        <w:rPr>
          <w:rFonts w:asciiTheme="minorBidi" w:hAnsiTheme="minorBidi"/>
        </w:rPr>
        <w:t xml:space="preserve"> of multiple SSBs before the PO </w:t>
      </w:r>
      <w:r>
        <w:rPr>
          <w:rFonts w:asciiTheme="minorBidi" w:hAnsiTheme="minorBidi"/>
        </w:rPr>
        <w:t>when</w:t>
      </w:r>
      <w:r w:rsidR="00BB12C2">
        <w:rPr>
          <w:rFonts w:asciiTheme="minorBidi" w:hAnsiTheme="minorBidi"/>
        </w:rPr>
        <w:t xml:space="preserve"> SSB adaptations are done. The UE may choose to wake up closer to PO when additional SSBs are provided.</w:t>
      </w:r>
      <w:bookmarkEnd w:id="19"/>
    </w:p>
    <w:p w14:paraId="1866DD6D" w14:textId="4D99FEE9" w:rsidR="00BB12C2" w:rsidRDefault="00BB12C2" w:rsidP="00BB12C2">
      <w:pPr>
        <w:pStyle w:val="Observation"/>
        <w:overflowPunct w:val="0"/>
        <w:autoSpaceDE w:val="0"/>
        <w:autoSpaceDN w:val="0"/>
        <w:adjustRightInd w:val="0"/>
        <w:spacing w:line="240" w:lineRule="auto"/>
        <w:ind w:left="1701" w:hanging="1701"/>
        <w:textAlignment w:val="baseline"/>
      </w:pPr>
      <w:bookmarkStart w:id="20" w:name="_Toc165984151"/>
      <w:bookmarkStart w:id="21" w:name="_Toc166252118"/>
      <w:r>
        <w:t xml:space="preserve">Adapting SSBs for UEs in </w:t>
      </w:r>
      <w:r w:rsidR="00332245">
        <w:t>i</w:t>
      </w:r>
      <w:r>
        <w:t>dle/</w:t>
      </w:r>
      <w:r w:rsidR="00332245">
        <w:t>i</w:t>
      </w:r>
      <w:r>
        <w:t xml:space="preserve">nactive such that additional SSBs are added on top of low-periodicity SSBs prior to POs makes deployment of cells with low-rate SSBs </w:t>
      </w:r>
      <w:r w:rsidR="00320C9D">
        <w:t>more beneficial</w:t>
      </w:r>
      <w:r>
        <w:t>.</w:t>
      </w:r>
      <w:bookmarkEnd w:id="20"/>
      <w:bookmarkEnd w:id="21"/>
      <w:r>
        <w:t xml:space="preserve"> </w:t>
      </w:r>
    </w:p>
    <w:p w14:paraId="7050B610" w14:textId="77777777" w:rsidR="00622A24" w:rsidRDefault="00622A24" w:rsidP="00622A24">
      <w:pPr>
        <w:spacing w:beforeLines="100" w:before="240" w:afterLines="100" w:after="240"/>
        <w:jc w:val="both"/>
        <w:rPr>
          <w:rFonts w:ascii="Arial" w:eastAsia="DengXian" w:hAnsi="Arial" w:cs="Arial"/>
        </w:rPr>
      </w:pPr>
      <w:r>
        <w:rPr>
          <w:rFonts w:ascii="Arial" w:eastAsia="DengXian" w:hAnsi="Arial" w:cs="Arial"/>
        </w:rPr>
        <w:t xml:space="preserve">In last meeting, it was agreed to study different options for which SSBs can be adapted (e.g. whether the SSBs are cell-defining or not, whether they are on the sync raster or not, etc). Some analysis is provided below. </w:t>
      </w:r>
    </w:p>
    <w:p w14:paraId="03736E14" w14:textId="1E790DE6" w:rsidR="0059677F" w:rsidRDefault="00622A24" w:rsidP="00622A24">
      <w:pPr>
        <w:spacing w:beforeLines="100" w:before="240" w:afterLines="100" w:after="240"/>
        <w:jc w:val="both"/>
        <w:rPr>
          <w:rFonts w:ascii="Arial" w:eastAsia="DengXian" w:hAnsi="Arial" w:cs="Arial"/>
        </w:rPr>
      </w:pPr>
      <w:r>
        <w:rPr>
          <w:rFonts w:ascii="Arial" w:eastAsia="DengXian" w:hAnsi="Arial" w:cs="Arial"/>
        </w:rPr>
        <w:t>We start with the simplest case first, i.e.</w:t>
      </w:r>
      <w:r w:rsidR="00DD7B44">
        <w:rPr>
          <w:rFonts w:ascii="Arial" w:eastAsia="DengXian" w:hAnsi="Arial" w:cs="Arial"/>
        </w:rPr>
        <w:t>,</w:t>
      </w:r>
      <w:r>
        <w:rPr>
          <w:rFonts w:ascii="Arial" w:eastAsia="DengXian" w:hAnsi="Arial" w:cs="Arial"/>
        </w:rPr>
        <w:t xml:space="preserve"> </w:t>
      </w:r>
      <w:r w:rsidR="00DA3384">
        <w:rPr>
          <w:rFonts w:ascii="Arial" w:eastAsia="DengXian" w:hAnsi="Arial" w:cs="Arial"/>
        </w:rPr>
        <w:t>SSB</w:t>
      </w:r>
      <w:r>
        <w:rPr>
          <w:rFonts w:ascii="Arial" w:eastAsia="DengXian" w:hAnsi="Arial" w:cs="Arial"/>
        </w:rPr>
        <w:t xml:space="preserve"> adaptation for a </w:t>
      </w:r>
      <w:r w:rsidRPr="00937AB3">
        <w:rPr>
          <w:rFonts w:ascii="Arial" w:eastAsia="DengXian" w:hAnsi="Arial" w:cs="Arial"/>
        </w:rPr>
        <w:t>Rel-19 NES-capable UE’s SCell</w:t>
      </w:r>
      <w:r>
        <w:rPr>
          <w:rFonts w:ascii="Arial" w:eastAsia="DengXian" w:hAnsi="Arial" w:cs="Arial"/>
        </w:rPr>
        <w:t>. In NR, when a UE is configured with an SCell, the UE is provided with all the relevant configuration information for the SCell. The UE is provided time/frequency resources and other configuration details of the SSBs</w:t>
      </w:r>
      <w:r w:rsidR="00DA3384">
        <w:rPr>
          <w:rFonts w:ascii="Arial" w:eastAsia="DengXian" w:hAnsi="Arial" w:cs="Arial"/>
        </w:rPr>
        <w:t>,</w:t>
      </w:r>
      <w:r>
        <w:rPr>
          <w:rFonts w:ascii="Arial" w:eastAsia="DengXian" w:hAnsi="Arial" w:cs="Arial"/>
        </w:rPr>
        <w:t xml:space="preserve"> and it simply process</w:t>
      </w:r>
      <w:r w:rsidR="00DD7B44">
        <w:rPr>
          <w:rFonts w:ascii="Arial" w:eastAsia="DengXian" w:hAnsi="Arial" w:cs="Arial"/>
        </w:rPr>
        <w:t>es</w:t>
      </w:r>
      <w:r>
        <w:rPr>
          <w:rFonts w:ascii="Arial" w:eastAsia="DengXian" w:hAnsi="Arial" w:cs="Arial"/>
        </w:rPr>
        <w:t xml:space="preserve"> those regardless the SSBs are cell-defining or not. Analogously, </w:t>
      </w:r>
      <w:r w:rsidR="00DA3384">
        <w:rPr>
          <w:rFonts w:ascii="Arial" w:eastAsia="DengXian" w:hAnsi="Arial" w:cs="Arial"/>
        </w:rPr>
        <w:t xml:space="preserve">for </w:t>
      </w:r>
      <w:r w:rsidRPr="00937AB3">
        <w:rPr>
          <w:rFonts w:ascii="Arial" w:eastAsia="DengXian" w:hAnsi="Arial" w:cs="Arial"/>
        </w:rPr>
        <w:t>Rel-19 NES-capable UE’s SCell</w:t>
      </w:r>
      <w:r>
        <w:rPr>
          <w:rFonts w:ascii="Arial" w:eastAsia="DengXian" w:hAnsi="Arial" w:cs="Arial"/>
        </w:rPr>
        <w:t>, it is not necessary to apply restriction on adapting SSBs as it is immaterial to that UE’s SCell operation whether the SSBs are cell defining or not. However, when cell defining SSBs are adapted (e.g.</w:t>
      </w:r>
      <w:r w:rsidR="00DD7B44">
        <w:rPr>
          <w:rFonts w:ascii="Arial" w:eastAsia="DengXian" w:hAnsi="Arial" w:cs="Arial"/>
        </w:rPr>
        <w:t>,</w:t>
      </w:r>
      <w:r>
        <w:rPr>
          <w:rFonts w:ascii="Arial" w:eastAsia="DengXian" w:hAnsi="Arial" w:cs="Arial"/>
        </w:rPr>
        <w:t xml:space="preserve"> periodicity is changed), legacy UEs that </w:t>
      </w:r>
      <w:r w:rsidR="00DA3384">
        <w:rPr>
          <w:rFonts w:ascii="Arial" w:eastAsia="DengXian" w:hAnsi="Arial" w:cs="Arial"/>
        </w:rPr>
        <w:t>can</w:t>
      </w:r>
      <w:r>
        <w:rPr>
          <w:rFonts w:ascii="Arial" w:eastAsia="DengXian" w:hAnsi="Arial" w:cs="Arial"/>
        </w:rPr>
        <w:t xml:space="preserve"> find such a cell may not be able to use such</w:t>
      </w:r>
      <w:r w:rsidR="00DF6A0B">
        <w:rPr>
          <w:rFonts w:ascii="Arial" w:eastAsia="DengXian" w:hAnsi="Arial" w:cs="Arial"/>
        </w:rPr>
        <w:t xml:space="preserve"> cell</w:t>
      </w:r>
      <w:r>
        <w:rPr>
          <w:rFonts w:ascii="Arial" w:eastAsia="DengXian" w:hAnsi="Arial" w:cs="Arial"/>
        </w:rPr>
        <w:t xml:space="preserve">. Mechanisms such as cell barring </w:t>
      </w:r>
      <w:r w:rsidR="00DA3384">
        <w:rPr>
          <w:rFonts w:ascii="Arial" w:eastAsia="DengXian" w:hAnsi="Arial" w:cs="Arial"/>
        </w:rPr>
        <w:t>could</w:t>
      </w:r>
      <w:r>
        <w:rPr>
          <w:rFonts w:ascii="Arial" w:eastAsia="DengXian" w:hAnsi="Arial" w:cs="Arial"/>
        </w:rPr>
        <w:t xml:space="preserve"> be considered to</w:t>
      </w:r>
      <w:r w:rsidRPr="00622A24">
        <w:rPr>
          <w:rFonts w:ascii="Arial" w:eastAsia="DengXian" w:hAnsi="Arial" w:cs="Arial"/>
        </w:rPr>
        <w:t xml:space="preserve"> prevent legacy UEs from doing initial access on cell operating with adaptation of SSB in time-domain</w:t>
      </w:r>
      <w:r w:rsidR="0059677F">
        <w:rPr>
          <w:rFonts w:ascii="Arial" w:eastAsia="DengXian" w:hAnsi="Arial" w:cs="Arial"/>
        </w:rPr>
        <w:t xml:space="preserve"> e.g. like the barring mechanism specified in Rel-18 NES WI for cell DTX/DRX. </w:t>
      </w:r>
      <w:r w:rsidR="00DF6A0B">
        <w:rPr>
          <w:rFonts w:ascii="Arial" w:eastAsia="DengXian" w:hAnsi="Arial" w:cs="Arial"/>
        </w:rPr>
        <w:t>Thus, at least adaptation based on SSB that is not CD-SSB can be supported for the various case.</w:t>
      </w:r>
    </w:p>
    <w:p w14:paraId="66D94B39" w14:textId="2634CDD8" w:rsidR="00466AD4" w:rsidRPr="00B96146" w:rsidRDefault="00466AD4" w:rsidP="00622A24">
      <w:pPr>
        <w:spacing w:beforeLines="100" w:before="240" w:afterLines="100" w:after="240"/>
        <w:jc w:val="both"/>
        <w:rPr>
          <w:rFonts w:ascii="Arial" w:eastAsia="DengXian" w:hAnsi="Arial" w:cs="Arial"/>
        </w:rPr>
      </w:pPr>
      <w:r>
        <w:rPr>
          <w:rFonts w:ascii="Arial" w:eastAsia="DengXian" w:hAnsi="Arial" w:cs="Arial"/>
        </w:rPr>
        <w:t>Regarding idle/inactive, as described earlier, SSB adaptation should be supported at least for the case of non-initial access cells.</w:t>
      </w:r>
    </w:p>
    <w:p w14:paraId="3309B865" w14:textId="0F63E729" w:rsidR="008B75DE" w:rsidRDefault="008B75DE" w:rsidP="008B75DE">
      <w:pPr>
        <w:pStyle w:val="Proposal"/>
        <w:numPr>
          <w:ilvl w:val="0"/>
          <w:numId w:val="4"/>
        </w:numPr>
        <w:rPr>
          <w:rFonts w:cs="Arial"/>
          <w:lang w:val="en-CA"/>
        </w:rPr>
      </w:pPr>
      <w:bookmarkStart w:id="22" w:name="_Toc166252138"/>
      <w:bookmarkStart w:id="23" w:name="_Hlk166229851"/>
      <w:r>
        <w:rPr>
          <w:rFonts w:cs="Arial"/>
          <w:lang w:val="en-CA"/>
        </w:rPr>
        <w:t>For adaptation of SSB in time-domain, support at least the following scenarios</w:t>
      </w:r>
      <w:r w:rsidR="002131A9">
        <w:rPr>
          <w:rFonts w:cs="Arial"/>
          <w:lang w:val="en-CA"/>
        </w:rPr>
        <w:t>.</w:t>
      </w:r>
      <w:bookmarkEnd w:id="22"/>
    </w:p>
    <w:p w14:paraId="16F3BAC2" w14:textId="77777777" w:rsidR="008B75DE" w:rsidRPr="000E77BF" w:rsidRDefault="008B75DE" w:rsidP="008B75DE">
      <w:pPr>
        <w:pStyle w:val="Proposal"/>
        <w:numPr>
          <w:ilvl w:val="1"/>
          <w:numId w:val="4"/>
        </w:numPr>
        <w:rPr>
          <w:rFonts w:cs="Arial"/>
          <w:lang w:val="en-CA"/>
        </w:rPr>
      </w:pPr>
      <w:bookmarkStart w:id="24" w:name="_Toc166252139"/>
      <w:r w:rsidRPr="000E77BF">
        <w:rPr>
          <w:rFonts w:cs="Arial"/>
          <w:lang w:val="en-CA"/>
        </w:rPr>
        <w:t>Rel-19 NES-capable UE’s PCell (Connected mode)</w:t>
      </w:r>
      <w:bookmarkEnd w:id="24"/>
      <w:r w:rsidRPr="000E77BF">
        <w:rPr>
          <w:rFonts w:cs="Arial"/>
          <w:lang w:val="en-CA"/>
        </w:rPr>
        <w:t xml:space="preserve"> </w:t>
      </w:r>
    </w:p>
    <w:p w14:paraId="584D6500" w14:textId="64250014" w:rsidR="008B75DE" w:rsidRPr="000E77BF" w:rsidRDefault="00013A04" w:rsidP="008B75DE">
      <w:pPr>
        <w:pStyle w:val="Proposal"/>
        <w:numPr>
          <w:ilvl w:val="2"/>
          <w:numId w:val="4"/>
        </w:numPr>
        <w:rPr>
          <w:rFonts w:cs="Arial"/>
          <w:lang w:val="en-CA"/>
        </w:rPr>
      </w:pPr>
      <w:bookmarkStart w:id="25" w:name="_Toc166252140"/>
      <w:r>
        <w:rPr>
          <w:rFonts w:cs="Arial"/>
          <w:lang w:val="en-CA"/>
        </w:rPr>
        <w:t>A</w:t>
      </w:r>
      <w:r w:rsidR="008B75DE" w:rsidRPr="000E77BF">
        <w:rPr>
          <w:rFonts w:cs="Arial"/>
          <w:lang w:val="en-CA"/>
        </w:rPr>
        <w:t>daptation for SSB that is not CD-SSB</w:t>
      </w:r>
      <w:bookmarkEnd w:id="25"/>
      <w:r w:rsidR="008B75DE">
        <w:rPr>
          <w:rFonts w:cs="Arial"/>
          <w:lang w:val="en-CA"/>
        </w:rPr>
        <w:t xml:space="preserve"> </w:t>
      </w:r>
    </w:p>
    <w:p w14:paraId="6486DC81" w14:textId="105FD270" w:rsidR="008B75DE" w:rsidRPr="000E77BF" w:rsidRDefault="008B75DE" w:rsidP="008B75DE">
      <w:pPr>
        <w:pStyle w:val="Proposal"/>
        <w:numPr>
          <w:ilvl w:val="1"/>
          <w:numId w:val="4"/>
        </w:numPr>
        <w:rPr>
          <w:rFonts w:cs="Arial"/>
          <w:lang w:val="en-CA"/>
        </w:rPr>
      </w:pPr>
      <w:bookmarkStart w:id="26" w:name="_Toc166252141"/>
      <w:r w:rsidRPr="000E77BF">
        <w:rPr>
          <w:rFonts w:cs="Arial"/>
          <w:lang w:val="en-CA"/>
        </w:rPr>
        <w:t>Rel-19 NES-capable UE’s S</w:t>
      </w:r>
      <w:r w:rsidR="001D7D24">
        <w:rPr>
          <w:rFonts w:cs="Arial"/>
          <w:lang w:val="en-CA"/>
        </w:rPr>
        <w:t>C</w:t>
      </w:r>
      <w:r w:rsidRPr="000E77BF">
        <w:rPr>
          <w:rFonts w:cs="Arial"/>
          <w:lang w:val="en-CA"/>
        </w:rPr>
        <w:t>ell</w:t>
      </w:r>
      <w:bookmarkEnd w:id="26"/>
      <w:r w:rsidRPr="000E77BF">
        <w:rPr>
          <w:rFonts w:cs="Arial"/>
          <w:lang w:val="en-CA"/>
        </w:rPr>
        <w:t xml:space="preserve"> </w:t>
      </w:r>
    </w:p>
    <w:p w14:paraId="6031AF18" w14:textId="31EA0D44" w:rsidR="008B75DE" w:rsidRDefault="00013A04" w:rsidP="008B75DE">
      <w:pPr>
        <w:pStyle w:val="Proposal"/>
        <w:numPr>
          <w:ilvl w:val="2"/>
          <w:numId w:val="4"/>
        </w:numPr>
        <w:rPr>
          <w:rFonts w:cs="Arial"/>
          <w:lang w:val="en-CA"/>
        </w:rPr>
      </w:pPr>
      <w:bookmarkStart w:id="27" w:name="_Toc166252142"/>
      <w:r>
        <w:rPr>
          <w:rFonts w:cs="Arial"/>
          <w:lang w:val="en-CA"/>
        </w:rPr>
        <w:t>A</w:t>
      </w:r>
      <w:r w:rsidR="008B75DE" w:rsidRPr="000E77BF">
        <w:rPr>
          <w:rFonts w:cs="Arial"/>
          <w:lang w:val="en-CA"/>
        </w:rPr>
        <w:t>daptation for SSB that is not CD-SSB</w:t>
      </w:r>
      <w:bookmarkEnd w:id="27"/>
      <w:r w:rsidR="008B75DE" w:rsidRPr="008B75DE">
        <w:rPr>
          <w:rFonts w:cs="Arial"/>
          <w:lang w:val="en-CA"/>
        </w:rPr>
        <w:t xml:space="preserve"> </w:t>
      </w:r>
    </w:p>
    <w:p w14:paraId="4343AA2F" w14:textId="2DBFD8B8" w:rsidR="002131A9" w:rsidRPr="002131A9" w:rsidRDefault="008B75DE" w:rsidP="00FE61C2">
      <w:pPr>
        <w:pStyle w:val="Proposal"/>
        <w:numPr>
          <w:ilvl w:val="1"/>
          <w:numId w:val="4"/>
        </w:numPr>
        <w:rPr>
          <w:rFonts w:cs="Arial"/>
          <w:lang w:val="en-CA"/>
        </w:rPr>
      </w:pPr>
      <w:bookmarkStart w:id="28" w:name="_Toc166252143"/>
      <w:r>
        <w:rPr>
          <w:rFonts w:cs="Arial"/>
          <w:lang w:val="en-CA"/>
        </w:rPr>
        <w:t xml:space="preserve">Note: There can be a </w:t>
      </w:r>
      <w:r w:rsidR="007C12DC">
        <w:rPr>
          <w:rFonts w:cs="Arial"/>
          <w:lang w:val="en-CA"/>
        </w:rPr>
        <w:t xml:space="preserve">sparse </w:t>
      </w:r>
      <w:r>
        <w:rPr>
          <w:rFonts w:cs="Arial"/>
          <w:lang w:val="en-CA"/>
        </w:rPr>
        <w:t>CD-SSB present in the cell along with the adaptable SSB that is not CD-SSB</w:t>
      </w:r>
      <w:bookmarkEnd w:id="28"/>
    </w:p>
    <w:p w14:paraId="4C036D7D" w14:textId="664D021C" w:rsidR="008B75DE" w:rsidRPr="00FE61C2" w:rsidRDefault="008B75DE" w:rsidP="00FE61C2">
      <w:pPr>
        <w:pStyle w:val="Observation"/>
        <w:overflowPunct w:val="0"/>
        <w:autoSpaceDE w:val="0"/>
        <w:autoSpaceDN w:val="0"/>
        <w:adjustRightInd w:val="0"/>
        <w:spacing w:line="240" w:lineRule="auto"/>
        <w:ind w:left="1701" w:hanging="1701"/>
        <w:textAlignment w:val="baseline"/>
      </w:pPr>
      <w:bookmarkStart w:id="29" w:name="_Toc166252119"/>
      <w:r w:rsidRPr="00FE61C2">
        <w:t>For adapting SSB that is CD-SSB, mechanisms such as cell barring are needed to prevent legacy UEs from doing initial access on cell operating with adaptation of SSB in time-domain.</w:t>
      </w:r>
      <w:bookmarkEnd w:id="29"/>
      <w:r w:rsidRPr="00FE61C2">
        <w:t xml:space="preserve">  </w:t>
      </w:r>
    </w:p>
    <w:p w14:paraId="1B77431D" w14:textId="428CC55E" w:rsidR="00F97C3F" w:rsidRPr="007C12DC" w:rsidRDefault="00F97C3F">
      <w:pPr>
        <w:pStyle w:val="Proposal"/>
        <w:numPr>
          <w:ilvl w:val="0"/>
          <w:numId w:val="4"/>
        </w:numPr>
      </w:pPr>
      <w:bookmarkStart w:id="30" w:name="_Toc166252144"/>
      <w:bookmarkEnd w:id="23"/>
      <w:r w:rsidRPr="00F97C3F">
        <w:rPr>
          <w:rFonts w:cs="Arial"/>
        </w:rPr>
        <w:t xml:space="preserve">Support </w:t>
      </w:r>
      <w:r w:rsidR="007C12DC">
        <w:rPr>
          <w:rFonts w:cs="Arial"/>
        </w:rPr>
        <w:t xml:space="preserve">the following for Rel-19 NES-capable </w:t>
      </w:r>
      <w:r w:rsidRPr="00F97C3F">
        <w:rPr>
          <w:rFonts w:cs="Arial"/>
        </w:rPr>
        <w:t>UE in idle/inactive mode at least for the case of non-initial access cells.</w:t>
      </w:r>
      <w:bookmarkEnd w:id="30"/>
    </w:p>
    <w:p w14:paraId="0D295DCB" w14:textId="5952E9F6" w:rsidR="007C12DC" w:rsidRDefault="00013A04" w:rsidP="007C12DC">
      <w:pPr>
        <w:pStyle w:val="Proposal"/>
        <w:numPr>
          <w:ilvl w:val="1"/>
          <w:numId w:val="4"/>
        </w:numPr>
        <w:rPr>
          <w:rFonts w:cs="Arial"/>
          <w:lang w:val="en-CA"/>
        </w:rPr>
      </w:pPr>
      <w:bookmarkStart w:id="31" w:name="_Toc166252145"/>
      <w:bookmarkStart w:id="32" w:name="_Hlk166227815"/>
      <w:r>
        <w:rPr>
          <w:rFonts w:cs="Arial"/>
          <w:lang w:val="en-CA"/>
        </w:rPr>
        <w:t>A</w:t>
      </w:r>
      <w:r w:rsidR="007C12DC" w:rsidRPr="000E77BF">
        <w:rPr>
          <w:rFonts w:cs="Arial"/>
          <w:lang w:val="en-CA"/>
        </w:rPr>
        <w:t>daptation for SSB that is not CD-SSB</w:t>
      </w:r>
      <w:bookmarkEnd w:id="31"/>
      <w:r w:rsidR="007C12DC" w:rsidRPr="008B75DE">
        <w:rPr>
          <w:rFonts w:cs="Arial"/>
          <w:lang w:val="en-CA"/>
        </w:rPr>
        <w:t xml:space="preserve"> </w:t>
      </w:r>
    </w:p>
    <w:p w14:paraId="3005840E" w14:textId="09FF8625" w:rsidR="007C12DC" w:rsidRPr="007C12DC" w:rsidRDefault="007C12DC" w:rsidP="00FE61C2">
      <w:pPr>
        <w:pStyle w:val="Proposal"/>
        <w:numPr>
          <w:ilvl w:val="1"/>
          <w:numId w:val="4"/>
        </w:numPr>
        <w:rPr>
          <w:rFonts w:cs="Arial"/>
          <w:lang w:val="en-CA"/>
        </w:rPr>
      </w:pPr>
      <w:bookmarkStart w:id="33" w:name="_Toc166252146"/>
      <w:r>
        <w:rPr>
          <w:rFonts w:cs="Arial"/>
          <w:lang w:val="en-CA"/>
        </w:rPr>
        <w:t>Note: A sparse CD-SSB is present in the cell along with the adaptable SSB that is not CD-SSB</w:t>
      </w:r>
      <w:bookmarkEnd w:id="33"/>
    </w:p>
    <w:bookmarkEnd w:id="32"/>
    <w:p w14:paraId="42546763" w14:textId="41C1F53F" w:rsidR="0059677F" w:rsidRDefault="0059677F" w:rsidP="0059677F">
      <w:pPr>
        <w:spacing w:beforeLines="100" w:before="240" w:afterLines="100" w:after="240"/>
        <w:jc w:val="both"/>
        <w:rPr>
          <w:rFonts w:ascii="Arial" w:hAnsi="Arial" w:cs="Arial"/>
        </w:rPr>
      </w:pPr>
      <w:r>
        <w:rPr>
          <w:rFonts w:ascii="Arial" w:hAnsi="Arial" w:cs="Arial"/>
        </w:rPr>
        <w:t xml:space="preserve">Next, we discuss the SSB adaptation mechanisms. </w:t>
      </w:r>
    </w:p>
    <w:p w14:paraId="3B0F21B3" w14:textId="3C465DBC" w:rsidR="0059677F" w:rsidRDefault="0059677F" w:rsidP="0059677F">
      <w:pPr>
        <w:spacing w:beforeLines="100" w:before="240" w:afterLines="100" w:after="240"/>
        <w:jc w:val="both"/>
        <w:rPr>
          <w:rFonts w:ascii="Arial" w:hAnsi="Arial" w:cs="Arial"/>
          <w:lang w:val="en-GB"/>
        </w:rPr>
      </w:pPr>
      <w:r>
        <w:rPr>
          <w:rFonts w:ascii="Arial" w:hAnsi="Arial" w:cs="Arial"/>
        </w:rPr>
        <w:t>Switching between SSB burst periodicity is simple mechanism that can provide significant NES gains (e.g. in Figure 2). Likewise, adaptation based on two SSB configurations can provide more flexibility in case more than periodicity needs to be adapted. Therefore, we propose to support both these techniques. Further details of the adaptation such as configuration aspects, etc can be discussed afterwards.</w:t>
      </w:r>
      <w:r w:rsidR="0024134D">
        <w:rPr>
          <w:rFonts w:ascii="Arial" w:hAnsi="Arial" w:cs="Arial"/>
        </w:rPr>
        <w:t xml:space="preserve"> </w:t>
      </w:r>
      <w:r>
        <w:rPr>
          <w:rFonts w:ascii="Arial" w:hAnsi="Arial" w:cs="Arial"/>
        </w:rPr>
        <w:t xml:space="preserve">Moreover, as described earlier, dynamic adaptation of SSBs would be beneficial. </w:t>
      </w:r>
    </w:p>
    <w:p w14:paraId="4E8C969C" w14:textId="62D1C86F" w:rsidR="0059677F" w:rsidRDefault="0059677F" w:rsidP="0059677F">
      <w:pPr>
        <w:pStyle w:val="Proposal"/>
        <w:numPr>
          <w:ilvl w:val="0"/>
          <w:numId w:val="4"/>
        </w:numPr>
        <w:rPr>
          <w:rFonts w:cs="Arial"/>
          <w:lang w:val="en-CA"/>
        </w:rPr>
      </w:pPr>
      <w:bookmarkStart w:id="34" w:name="_Toc163080166"/>
      <w:bookmarkStart w:id="35" w:name="_Toc166252147"/>
      <w:r>
        <w:rPr>
          <w:rFonts w:cs="Arial"/>
          <w:lang w:val="en-CA"/>
        </w:rPr>
        <w:t xml:space="preserve">For adaptation of SSB in time-domain, </w:t>
      </w:r>
      <w:r w:rsidR="00DF6A0B">
        <w:rPr>
          <w:rFonts w:cs="Arial"/>
          <w:lang w:val="en-CA"/>
        </w:rPr>
        <w:t xml:space="preserve">at least the </w:t>
      </w:r>
      <w:r>
        <w:rPr>
          <w:rFonts w:cs="Arial"/>
          <w:lang w:val="en-CA"/>
        </w:rPr>
        <w:t>following is supported</w:t>
      </w:r>
      <w:bookmarkEnd w:id="34"/>
      <w:r>
        <w:rPr>
          <w:rFonts w:cs="Arial"/>
          <w:lang w:val="en-CA"/>
        </w:rPr>
        <w:t>.</w:t>
      </w:r>
      <w:bookmarkEnd w:id="35"/>
    </w:p>
    <w:p w14:paraId="027ABC90" w14:textId="77777777" w:rsidR="0059677F" w:rsidRPr="00BD7250" w:rsidRDefault="0059677F" w:rsidP="0059677F">
      <w:pPr>
        <w:pStyle w:val="Proposal"/>
        <w:numPr>
          <w:ilvl w:val="1"/>
          <w:numId w:val="4"/>
        </w:numPr>
        <w:rPr>
          <w:rFonts w:cs="Arial"/>
          <w:lang w:val="en-CA"/>
        </w:rPr>
      </w:pPr>
      <w:bookmarkStart w:id="36" w:name="_Toc163080167"/>
      <w:bookmarkStart w:id="37" w:name="_Toc166252148"/>
      <w:r>
        <w:rPr>
          <w:rFonts w:cs="Arial"/>
          <w:lang w:val="en-CA"/>
        </w:rPr>
        <w:t xml:space="preserve">Adaptation of SSB burst </w:t>
      </w:r>
      <w:bookmarkEnd w:id="36"/>
      <w:r>
        <w:rPr>
          <w:rFonts w:cs="Arial"/>
          <w:lang w:val="en-CA"/>
        </w:rPr>
        <w:t>periodicity.</w:t>
      </w:r>
      <w:bookmarkEnd w:id="37"/>
    </w:p>
    <w:p w14:paraId="39A08447" w14:textId="05F07284" w:rsidR="0059677F" w:rsidRPr="00FE61C2" w:rsidRDefault="0059677F" w:rsidP="00FE61C2">
      <w:pPr>
        <w:pStyle w:val="Proposal"/>
        <w:numPr>
          <w:ilvl w:val="1"/>
          <w:numId w:val="1"/>
        </w:numPr>
      </w:pPr>
      <w:bookmarkStart w:id="38" w:name="_Toc163080168"/>
      <w:bookmarkStart w:id="39" w:name="_Toc166252149"/>
      <w:r>
        <w:rPr>
          <w:rFonts w:cs="Times"/>
          <w:szCs w:val="20"/>
          <w:lang w:eastAsia="x-none"/>
        </w:rPr>
        <w:t>Adaptation based on two SSB configuration</w:t>
      </w:r>
      <w:bookmarkEnd w:id="38"/>
      <w:r>
        <w:rPr>
          <w:rFonts w:cs="Times"/>
          <w:szCs w:val="20"/>
          <w:lang w:eastAsia="x-none"/>
        </w:rPr>
        <w:t>s</w:t>
      </w:r>
      <w:r w:rsidR="0024134D">
        <w:rPr>
          <w:rFonts w:cs="Times"/>
          <w:szCs w:val="20"/>
          <w:lang w:eastAsia="x-none"/>
        </w:rPr>
        <w:t xml:space="preserve"> (i.e.</w:t>
      </w:r>
      <w:r w:rsidR="00DD7B44">
        <w:rPr>
          <w:rFonts w:cs="Times"/>
          <w:szCs w:val="20"/>
          <w:lang w:eastAsia="x-none"/>
        </w:rPr>
        <w:t>,</w:t>
      </w:r>
      <w:r w:rsidR="0024134D">
        <w:rPr>
          <w:rFonts w:cs="Times"/>
          <w:szCs w:val="20"/>
          <w:lang w:eastAsia="x-none"/>
        </w:rPr>
        <w:t xml:space="preserve"> </w:t>
      </w:r>
      <w:r w:rsidR="0024134D" w:rsidRPr="0024134D">
        <w:rPr>
          <w:rFonts w:cs="Arial"/>
          <w:lang w:val="en-CA"/>
        </w:rPr>
        <w:t>a sparse CD-SSB along with adaptable SSB that is not CD-SSB</w:t>
      </w:r>
      <w:r w:rsidR="0024134D">
        <w:t>).</w:t>
      </w:r>
      <w:bookmarkEnd w:id="39"/>
    </w:p>
    <w:p w14:paraId="2CCB301D" w14:textId="7465F888" w:rsidR="0059677F" w:rsidRPr="00E903E9" w:rsidRDefault="0059677F" w:rsidP="0059677F">
      <w:pPr>
        <w:pStyle w:val="Proposal"/>
        <w:numPr>
          <w:ilvl w:val="0"/>
          <w:numId w:val="4"/>
        </w:numPr>
        <w:tabs>
          <w:tab w:val="clear" w:pos="1304"/>
          <w:tab w:val="num" w:pos="2024"/>
        </w:tabs>
        <w:rPr>
          <w:rFonts w:cs="Arial"/>
          <w:lang w:val="en-CA"/>
        </w:rPr>
      </w:pPr>
      <w:bookmarkStart w:id="40" w:name="_Toc166252150"/>
      <w:bookmarkStart w:id="41" w:name="_Hlk163148442"/>
      <w:r>
        <w:rPr>
          <w:rFonts w:cs="Arial"/>
          <w:lang w:val="en-CA"/>
        </w:rPr>
        <w:t>Support dynamic adaptation of SSB in time domain e.g.</w:t>
      </w:r>
      <w:r w:rsidR="00DD7B44">
        <w:rPr>
          <w:rFonts w:cs="Arial"/>
          <w:lang w:val="en-CA"/>
        </w:rPr>
        <w:t>,</w:t>
      </w:r>
      <w:r>
        <w:rPr>
          <w:rFonts w:cs="Arial"/>
          <w:lang w:val="en-CA"/>
        </w:rPr>
        <w:t xml:space="preserve"> based on DCI indication.</w:t>
      </w:r>
      <w:bookmarkEnd w:id="40"/>
    </w:p>
    <w:p w14:paraId="788613A9" w14:textId="77777777" w:rsidR="0059677F" w:rsidRDefault="0059677F" w:rsidP="0059677F">
      <w:pPr>
        <w:spacing w:beforeLines="100" w:before="240" w:afterLines="100" w:after="240"/>
        <w:jc w:val="both"/>
        <w:rPr>
          <w:rFonts w:ascii="Arial" w:eastAsia="DengXian" w:hAnsi="Arial" w:cs="Arial"/>
        </w:rPr>
      </w:pPr>
      <w:bookmarkStart w:id="42" w:name="_Hlk158754416"/>
      <w:bookmarkEnd w:id="15"/>
      <w:bookmarkEnd w:id="41"/>
      <w:r>
        <w:rPr>
          <w:rFonts w:ascii="Arial" w:eastAsia="DengXian" w:hAnsi="Arial" w:cs="Arial"/>
        </w:rPr>
        <w:t xml:space="preserve">For UEs in RRC idle/inactive mode, changing the default SSB periodicity (e.g., to &gt; 20ms) for Rel-19 UEs can be considered to enable NW energy savings for such cells. This can have some impact on UE power consumption, but with UE implementations maturing into the 5G advanced phase, a longer default SSB periodicity larger than 20ms can be considered. </w:t>
      </w:r>
    </w:p>
    <w:p w14:paraId="4AAD33A1" w14:textId="77777777" w:rsidR="0059677F" w:rsidRPr="00612EED" w:rsidRDefault="0059677F" w:rsidP="0059677F">
      <w:pPr>
        <w:pStyle w:val="Proposal"/>
        <w:numPr>
          <w:ilvl w:val="0"/>
          <w:numId w:val="4"/>
        </w:numPr>
        <w:rPr>
          <w:rFonts w:cs="Arial"/>
          <w:lang w:val="en-CA"/>
        </w:rPr>
      </w:pPr>
      <w:bookmarkStart w:id="43" w:name="_Toc166252151"/>
      <w:bookmarkEnd w:id="42"/>
      <w:r>
        <w:rPr>
          <w:rFonts w:cs="Arial"/>
          <w:lang w:val="en-CA"/>
        </w:rPr>
        <w:t>For Rel-19 idle/inactive mode UE, consider longer default SSB periodicity (&gt;20ms) for initial access.</w:t>
      </w:r>
      <w:bookmarkEnd w:id="43"/>
      <w:r>
        <w:rPr>
          <w:rFonts w:cs="Arial"/>
          <w:lang w:val="en-CA"/>
        </w:rPr>
        <w:t xml:space="preserve"> </w:t>
      </w:r>
    </w:p>
    <w:p w14:paraId="71A27D6E" w14:textId="77777777" w:rsidR="0059677F" w:rsidRPr="00A037BD" w:rsidRDefault="0059677F" w:rsidP="0059677F">
      <w:pPr>
        <w:spacing w:beforeLines="100" w:before="240" w:afterLines="100" w:after="240"/>
        <w:jc w:val="both"/>
        <w:rPr>
          <w:rFonts w:ascii="Arial" w:eastAsia="DengXian" w:hAnsi="Arial" w:cs="Arial"/>
        </w:rPr>
      </w:pPr>
      <w:r>
        <w:rPr>
          <w:rFonts w:ascii="Arial" w:eastAsia="DengXian" w:hAnsi="Arial" w:cs="Arial"/>
        </w:rPr>
        <w:t>Regarding changing SSB burst structure, w</w:t>
      </w:r>
      <w:r w:rsidRPr="00A037BD">
        <w:rPr>
          <w:rFonts w:ascii="Arial" w:eastAsia="DengXian" w:hAnsi="Arial" w:cs="Arial"/>
        </w:rPr>
        <w:t>e do not see any large energy-saving potential in further optimization at the timescale of a single SSB burst</w:t>
      </w:r>
      <w:r>
        <w:rPr>
          <w:rFonts w:ascii="Arial" w:eastAsia="DengXian" w:hAnsi="Arial" w:cs="Arial"/>
        </w:rPr>
        <w:t xml:space="preserve">. </w:t>
      </w:r>
      <w:r w:rsidRPr="00A037BD">
        <w:rPr>
          <w:rFonts w:ascii="Arial" w:eastAsia="DengXian" w:hAnsi="Arial" w:cs="Arial"/>
        </w:rPr>
        <w:t>While such optimization may at its best enable additional periods of micro-sleep</w:t>
      </w:r>
      <w:r w:rsidRPr="00AF49D6">
        <w:rPr>
          <w:rFonts w:ascii="Arial" w:eastAsia="DengXian" w:hAnsi="Arial" w:cs="Arial"/>
        </w:rPr>
        <w:t>, the cost in terms of standardization effort and legacy impact can be high</w:t>
      </w:r>
      <w:r w:rsidRPr="00A037BD">
        <w:rPr>
          <w:rFonts w:ascii="Arial" w:eastAsia="DengXian" w:hAnsi="Arial" w:cs="Arial"/>
        </w:rPr>
        <w:t xml:space="preserve">. Instead, focus </w:t>
      </w:r>
      <w:r>
        <w:rPr>
          <w:rFonts w:ascii="Arial" w:eastAsia="DengXian" w:hAnsi="Arial" w:cs="Arial"/>
        </w:rPr>
        <w:t xml:space="preserve">should be </w:t>
      </w:r>
      <w:r w:rsidRPr="00A037BD">
        <w:rPr>
          <w:rFonts w:ascii="Arial" w:eastAsia="DengXian" w:hAnsi="Arial" w:cs="Arial"/>
        </w:rPr>
        <w:t xml:space="preserve">on the longer timescale </w:t>
      </w:r>
      <w:r>
        <w:rPr>
          <w:rFonts w:ascii="Arial" w:eastAsia="DengXian" w:hAnsi="Arial" w:cs="Arial"/>
        </w:rPr>
        <w:t>and avoiding unnecessary wake-ups that can</w:t>
      </w:r>
      <w:r w:rsidRPr="00A037BD">
        <w:rPr>
          <w:rFonts w:ascii="Arial" w:eastAsia="DengXian" w:hAnsi="Arial" w:cs="Arial"/>
        </w:rPr>
        <w:t xml:space="preserve"> enabl</w:t>
      </w:r>
      <w:r>
        <w:rPr>
          <w:rFonts w:ascii="Arial" w:eastAsia="DengXian" w:hAnsi="Arial" w:cs="Arial"/>
        </w:rPr>
        <w:t>e</w:t>
      </w:r>
      <w:r w:rsidRPr="00A037BD">
        <w:rPr>
          <w:rFonts w:ascii="Arial" w:eastAsia="DengXian" w:hAnsi="Arial" w:cs="Arial"/>
        </w:rPr>
        <w:t xml:space="preserve"> deeper sleep states.</w:t>
      </w:r>
    </w:p>
    <w:p w14:paraId="01B2CBEB" w14:textId="77777777" w:rsidR="0059677F" w:rsidRPr="00A037BD" w:rsidRDefault="0059677F" w:rsidP="0059677F">
      <w:pPr>
        <w:pStyle w:val="Observation"/>
        <w:numPr>
          <w:ilvl w:val="0"/>
          <w:numId w:val="3"/>
        </w:numPr>
        <w:ind w:left="1560" w:hanging="1560"/>
      </w:pPr>
      <w:bookmarkStart w:id="44" w:name="_Toc166252120"/>
      <w:r w:rsidRPr="00A037BD">
        <w:t>Optimization on the timescale of individual SSB bursts only provides limited energy savings gains at a high cost in terms of standardization effort and legacy impact.</w:t>
      </w:r>
      <w:bookmarkEnd w:id="44"/>
    </w:p>
    <w:p w14:paraId="434599AA" w14:textId="77777777" w:rsidR="0059677F" w:rsidRDefault="0059677F" w:rsidP="0059677F">
      <w:pPr>
        <w:spacing w:beforeLines="100" w:before="240" w:afterLines="100" w:after="240"/>
        <w:jc w:val="both"/>
        <w:rPr>
          <w:rFonts w:ascii="Arial" w:eastAsia="DengXian" w:hAnsi="Arial" w:cs="Arial"/>
        </w:rPr>
      </w:pPr>
      <w:r w:rsidRPr="008D0698">
        <w:rPr>
          <w:rFonts w:ascii="Arial" w:eastAsia="DengXian" w:hAnsi="Arial" w:cs="Arial"/>
        </w:rPr>
        <w:t xml:space="preserve">Regarding the introduction of new SSB burst periodicity value(s), </w:t>
      </w:r>
      <w:r>
        <w:rPr>
          <w:rFonts w:ascii="Arial" w:eastAsia="DengXian" w:hAnsi="Arial" w:cs="Arial"/>
        </w:rPr>
        <w:t>we think</w:t>
      </w:r>
      <w:r w:rsidRPr="008D0698">
        <w:rPr>
          <w:rFonts w:ascii="Arial" w:eastAsia="DengXian" w:hAnsi="Arial" w:cs="Arial"/>
        </w:rPr>
        <w:t xml:space="preserve"> the values supported in current specifications (between 5ms and 160 ms) are sufficient.</w:t>
      </w:r>
      <w:r w:rsidRPr="00857EF7">
        <w:t xml:space="preserve"> </w:t>
      </w:r>
      <w:r w:rsidRPr="00857EF7">
        <w:rPr>
          <w:rFonts w:ascii="Arial" w:eastAsia="DengXian" w:hAnsi="Arial" w:cs="Arial"/>
        </w:rPr>
        <w:t>The 160ms periodicity ensures that a UE can operate in the network and gives the network the opportunity to enter deep sleep state.</w:t>
      </w:r>
    </w:p>
    <w:p w14:paraId="6024D770" w14:textId="77777777" w:rsidR="0059677F" w:rsidRDefault="0059677F" w:rsidP="0059677F">
      <w:pPr>
        <w:spacing w:beforeLines="100" w:before="240" w:afterLines="100" w:after="240"/>
        <w:jc w:val="both"/>
        <w:rPr>
          <w:rFonts w:ascii="Arial" w:hAnsi="Arial" w:cs="Arial"/>
          <w:lang w:val="en-GB"/>
        </w:rPr>
      </w:pPr>
      <w:r>
        <w:rPr>
          <w:rFonts w:ascii="Arial" w:hAnsi="Arial" w:cs="Arial"/>
          <w:lang w:val="en-GB"/>
        </w:rPr>
        <w:t xml:space="preserve">Regarding using cell DTX for SSB adaptation, combining SSB adaptation with cell DTX would in a typical setup mean that the network provides high rate SSB during on-period and a base SSB rate during off-period. However, the lowest SSB provision rate in current spec is 160ms which is possible for allowing idle/inactive UE cell reselection within the network and keep connected UEs active. Note however, it is not always urgent to provide high rate SSBs during DTX on-period. Regarding the case that connected UE needs mobility measurement, the measurement may not be needed during every DTX on-period so it could impact the energy saving gain and reduces the freedom of SSB pattern provision as well. In our view, the SSB provision rate and Cell DTX operations are not strongly correlated, and we therefore don’t see the necessity to connect these two functions together. </w:t>
      </w:r>
    </w:p>
    <w:p w14:paraId="0069DBE0" w14:textId="77777777" w:rsidR="0059677F" w:rsidRPr="00A61448" w:rsidRDefault="0059677F" w:rsidP="0059677F">
      <w:pPr>
        <w:pStyle w:val="Observation"/>
        <w:numPr>
          <w:ilvl w:val="0"/>
          <w:numId w:val="3"/>
        </w:numPr>
        <w:ind w:left="1560" w:hanging="1560"/>
      </w:pPr>
      <w:bookmarkStart w:id="45" w:name="_Toc166252121"/>
      <w:r>
        <w:t>Applying the cell</w:t>
      </w:r>
      <w:r w:rsidRPr="00CF0109">
        <w:t xml:space="preserve"> DTX </w:t>
      </w:r>
      <w:r>
        <w:t>operation for adaptation of SSB is not necessary as the SSB provision rate and cell DTX operation cycle may not be fully correlated.</w:t>
      </w:r>
      <w:bookmarkEnd w:id="45"/>
    </w:p>
    <w:p w14:paraId="7824E156" w14:textId="77777777" w:rsidR="0059677F" w:rsidRDefault="0059677F" w:rsidP="0059677F">
      <w:pPr>
        <w:pStyle w:val="Proposal"/>
        <w:numPr>
          <w:ilvl w:val="0"/>
          <w:numId w:val="0"/>
        </w:numPr>
        <w:rPr>
          <w:rFonts w:cs="Arial"/>
          <w:lang w:val="en-CA"/>
        </w:rPr>
      </w:pPr>
    </w:p>
    <w:p w14:paraId="39E58C97" w14:textId="77777777" w:rsidR="0059677F" w:rsidRDefault="0059677F" w:rsidP="0059677F">
      <w:pPr>
        <w:pStyle w:val="Heading2"/>
        <w:jc w:val="both"/>
        <w:rPr>
          <w:rFonts w:ascii="Arial" w:hAnsi="Arial" w:cs="Arial"/>
          <w:b/>
          <w:bCs/>
          <w:color w:val="auto"/>
          <w:lang w:val="en-GB"/>
        </w:rPr>
      </w:pPr>
      <w:r w:rsidRPr="00303F36">
        <w:rPr>
          <w:rFonts w:ascii="Arial" w:hAnsi="Arial" w:cs="Arial"/>
          <w:b/>
          <w:bCs/>
          <w:color w:val="auto"/>
          <w:lang w:val="en-GB"/>
        </w:rPr>
        <w:t>Adaptation of PRACH</w:t>
      </w:r>
    </w:p>
    <w:p w14:paraId="364F57BF" w14:textId="77777777" w:rsidR="0059677F" w:rsidRDefault="0059677F" w:rsidP="0059677F">
      <w:pPr>
        <w:rPr>
          <w:lang w:val="en-GB"/>
        </w:rPr>
      </w:pPr>
    </w:p>
    <w:p w14:paraId="1CE5FA87" w14:textId="77777777" w:rsidR="0059677F" w:rsidRPr="00C31945" w:rsidRDefault="0059677F" w:rsidP="0059677F">
      <w:pPr>
        <w:pStyle w:val="Heading3"/>
        <w:rPr>
          <w:rFonts w:ascii="Arial" w:hAnsi="Arial" w:cs="Arial"/>
          <w:color w:val="auto"/>
          <w:lang w:val="en-GB"/>
        </w:rPr>
      </w:pPr>
      <w:r w:rsidRPr="00C31945">
        <w:rPr>
          <w:rFonts w:ascii="Arial" w:hAnsi="Arial" w:cs="Arial"/>
          <w:color w:val="auto"/>
          <w:lang w:val="en-GB"/>
        </w:rPr>
        <w:t>Adaptation of PRACH in time domain</w:t>
      </w:r>
    </w:p>
    <w:p w14:paraId="3DC8D31A" w14:textId="77777777" w:rsidR="0059677F" w:rsidRPr="00B557F1" w:rsidRDefault="0059677F" w:rsidP="0059677F">
      <w:pPr>
        <w:spacing w:beforeLines="100" w:before="240" w:afterLines="100" w:after="240"/>
        <w:jc w:val="both"/>
        <w:rPr>
          <w:rFonts w:ascii="Arial" w:hAnsi="Arial" w:cs="Arial"/>
          <w:lang w:val="en-GB"/>
        </w:rPr>
      </w:pPr>
      <w:r w:rsidRPr="00B557F1">
        <w:rPr>
          <w:rFonts w:ascii="Arial" w:hAnsi="Arial" w:cs="Arial"/>
          <w:lang w:val="en-GB"/>
        </w:rPr>
        <w:t>Below agreement was made in last meeting.</w:t>
      </w:r>
    </w:p>
    <w:p w14:paraId="01B597A7" w14:textId="77777777" w:rsidR="00B911E8" w:rsidRDefault="00B911E8" w:rsidP="00B911E8">
      <w:pPr>
        <w:rPr>
          <w:rFonts w:ascii="Times" w:eastAsia="Batang" w:hAnsi="Times"/>
          <w:b/>
          <w:bCs/>
          <w:highlight w:val="green"/>
          <w:lang w:eastAsia="x-none"/>
        </w:rPr>
      </w:pPr>
      <w:r>
        <w:rPr>
          <w:rFonts w:ascii="Times" w:eastAsia="Batang" w:hAnsi="Times"/>
          <w:b/>
          <w:bCs/>
          <w:highlight w:val="green"/>
          <w:lang w:eastAsia="x-none"/>
        </w:rPr>
        <w:t>Agreement</w:t>
      </w:r>
    </w:p>
    <w:p w14:paraId="2E879E5C" w14:textId="77777777" w:rsidR="00B911E8" w:rsidRDefault="00B911E8" w:rsidP="00B911E8">
      <w:pPr>
        <w:rPr>
          <w:rFonts w:eastAsia="Batang"/>
          <w:lang w:eastAsia="x-none"/>
        </w:rPr>
      </w:pPr>
      <w:r>
        <w:rPr>
          <w:rFonts w:eastAsia="Batang"/>
          <w:lang w:eastAsia="x-none"/>
        </w:rPr>
        <w:t xml:space="preserve">For adaptation of PRACH in time-domain, support at least the following: </w:t>
      </w:r>
    </w:p>
    <w:p w14:paraId="23D30E36" w14:textId="77777777" w:rsidR="00B911E8" w:rsidRDefault="00B911E8" w:rsidP="00B911E8">
      <w:pPr>
        <w:numPr>
          <w:ilvl w:val="0"/>
          <w:numId w:val="17"/>
        </w:numPr>
        <w:autoSpaceDN w:val="0"/>
        <w:spacing w:line="256" w:lineRule="auto"/>
        <w:rPr>
          <w:rFonts w:eastAsia="Batang"/>
          <w:lang w:eastAsia="x-none"/>
        </w:rPr>
      </w:pPr>
      <w:r>
        <w:rPr>
          <w:rFonts w:eastAsia="Batang"/>
          <w:lang w:eastAsia="x-none"/>
        </w:rPr>
        <w:t>Adaptation based on additional PRACH resources for NES-capable UEs in addition to PRACH resources for legacy UEs (if any)</w:t>
      </w:r>
    </w:p>
    <w:p w14:paraId="72D4EF7A" w14:textId="77777777" w:rsidR="00B911E8" w:rsidRDefault="00B911E8" w:rsidP="00B911E8">
      <w:pPr>
        <w:numPr>
          <w:ilvl w:val="1"/>
          <w:numId w:val="14"/>
        </w:numPr>
        <w:autoSpaceDN w:val="0"/>
        <w:spacing w:line="256" w:lineRule="auto"/>
        <w:rPr>
          <w:rFonts w:eastAsia="Batang"/>
          <w:lang w:eastAsia="x-none"/>
        </w:rPr>
      </w:pPr>
      <w:r>
        <w:rPr>
          <w:rFonts w:eastAsia="Batang"/>
          <w:lang w:eastAsia="x-none"/>
        </w:rPr>
        <w:t>Note: NES-capable UEs can use both additional PRACH resources and PRACH resources for legacy UEs</w:t>
      </w:r>
    </w:p>
    <w:p w14:paraId="6DF40E8F" w14:textId="77777777" w:rsidR="00B911E8" w:rsidRDefault="00B911E8" w:rsidP="00B911E8">
      <w:pPr>
        <w:numPr>
          <w:ilvl w:val="1"/>
          <w:numId w:val="14"/>
        </w:numPr>
        <w:autoSpaceDN w:val="0"/>
        <w:spacing w:line="256" w:lineRule="auto"/>
        <w:rPr>
          <w:rFonts w:eastAsia="Batang"/>
          <w:lang w:eastAsia="x-none"/>
        </w:rPr>
      </w:pPr>
      <w:r>
        <w:rPr>
          <w:rFonts w:eastAsia="Batang"/>
          <w:lang w:eastAsia="x-none"/>
        </w:rPr>
        <w:t>Configuration of additional PRACH resources is provided by semi-static signalling</w:t>
      </w:r>
    </w:p>
    <w:p w14:paraId="46DF6BE0" w14:textId="77777777" w:rsidR="00B911E8" w:rsidRDefault="00B911E8" w:rsidP="00B911E8">
      <w:pPr>
        <w:numPr>
          <w:ilvl w:val="2"/>
          <w:numId w:val="14"/>
        </w:numPr>
        <w:autoSpaceDN w:val="0"/>
        <w:spacing w:line="256" w:lineRule="auto"/>
        <w:rPr>
          <w:rFonts w:eastAsia="Batang"/>
          <w:lang w:eastAsia="x-none"/>
        </w:rPr>
      </w:pPr>
      <w:r>
        <w:rPr>
          <w:rFonts w:eastAsia="Batang"/>
          <w:lang w:eastAsia="x-none"/>
        </w:rPr>
        <w:t>FFS: details including whether there is overlap of additional PRACH resources and PRACH resources for legacy UEs</w:t>
      </w:r>
    </w:p>
    <w:p w14:paraId="043A47D2" w14:textId="77777777" w:rsidR="00B911E8" w:rsidRDefault="00B911E8" w:rsidP="00B911E8">
      <w:pPr>
        <w:numPr>
          <w:ilvl w:val="1"/>
          <w:numId w:val="14"/>
        </w:numPr>
        <w:autoSpaceDN w:val="0"/>
        <w:spacing w:line="256" w:lineRule="auto"/>
        <w:rPr>
          <w:rFonts w:eastAsia="Batang"/>
          <w:lang w:eastAsia="x-none"/>
        </w:rPr>
      </w:pPr>
      <w:r>
        <w:rPr>
          <w:rFonts w:eastAsia="Batang"/>
          <w:lang w:eastAsia="x-none"/>
        </w:rPr>
        <w:t>FFS: adaptation mechanism for additional PRACH resources</w:t>
      </w:r>
    </w:p>
    <w:p w14:paraId="4AE1F5CA" w14:textId="77777777" w:rsidR="00B911E8" w:rsidRDefault="00B911E8" w:rsidP="00B911E8">
      <w:pPr>
        <w:numPr>
          <w:ilvl w:val="1"/>
          <w:numId w:val="14"/>
        </w:numPr>
        <w:autoSpaceDN w:val="0"/>
        <w:spacing w:line="256" w:lineRule="auto"/>
        <w:rPr>
          <w:rFonts w:eastAsia="Batang"/>
          <w:lang w:eastAsia="x-none"/>
        </w:rPr>
      </w:pPr>
      <w:r>
        <w:rPr>
          <w:rFonts w:eastAsia="Batang"/>
          <w:lang w:eastAsia="x-none"/>
        </w:rPr>
        <w:t>Note: No change to the existing PRACH configuration tables in 38.211</w:t>
      </w:r>
    </w:p>
    <w:p w14:paraId="13F3BC6A" w14:textId="77777777" w:rsidR="0059677F" w:rsidRPr="00C31945" w:rsidRDefault="0059677F" w:rsidP="0059677F">
      <w:pPr>
        <w:rPr>
          <w:rFonts w:ascii="Arial" w:hAnsi="Arial" w:cs="Arial"/>
          <w:lang w:val="en-GB"/>
        </w:rPr>
      </w:pPr>
    </w:p>
    <w:p w14:paraId="088FE3DC" w14:textId="77777777" w:rsidR="0059677F" w:rsidRDefault="0059677F" w:rsidP="0059677F">
      <w:pPr>
        <w:spacing w:beforeLines="100" w:before="240" w:afterLines="100" w:after="240"/>
        <w:jc w:val="both"/>
        <w:rPr>
          <w:rFonts w:ascii="Arial" w:hAnsi="Arial" w:cs="Arial"/>
        </w:rPr>
      </w:pPr>
      <w:r>
        <w:rPr>
          <w:rFonts w:ascii="Arial" w:hAnsi="Arial" w:cs="Arial"/>
        </w:rPr>
        <w:t xml:space="preserve">In current NR, another significant periodic/always-on activity for a cell that supports initial access is PRACH and its periodicity can be changed only semi-statically. </w:t>
      </w:r>
      <w:r>
        <w:rPr>
          <w:rFonts w:ascii="Arial" w:eastAsia="DengXian" w:hAnsi="Arial" w:cs="Arial"/>
        </w:rPr>
        <w:t>These</w:t>
      </w:r>
      <w:r w:rsidRPr="00087A84">
        <w:rPr>
          <w:rFonts w:ascii="Arial" w:eastAsia="DengXian" w:hAnsi="Arial" w:cs="Arial"/>
        </w:rPr>
        <w:t xml:space="preserve"> resources cannot be dynamically adjusted to accommodate changes in traffic load</w:t>
      </w:r>
      <w:r>
        <w:rPr>
          <w:rFonts w:ascii="Arial" w:eastAsia="DengXian" w:hAnsi="Arial" w:cs="Arial"/>
        </w:rPr>
        <w:t xml:space="preserve"> or save energy at the gNB</w:t>
      </w:r>
      <w:r w:rsidRPr="00087A84">
        <w:rPr>
          <w:rFonts w:ascii="Arial" w:eastAsia="DengXian" w:hAnsi="Arial" w:cs="Arial"/>
        </w:rPr>
        <w:t>.</w:t>
      </w:r>
      <w:r>
        <w:rPr>
          <w:rFonts w:ascii="Arial" w:eastAsia="DengXian" w:hAnsi="Arial" w:cs="Arial"/>
        </w:rPr>
        <w:t xml:space="preserve"> </w:t>
      </w:r>
      <w:r>
        <w:rPr>
          <w:rFonts w:ascii="Arial" w:hAnsi="Arial" w:cs="Arial"/>
        </w:rPr>
        <w:t xml:space="preserve">The PRACH reception on such cells must continue quite frequently even when the cell has no/light traffic, consuming NW energy. Dynamic adaptation of the PRACH occasions in the time domain allows NW energy saving while balancing initial access performance, as shown in Figure 3.  </w:t>
      </w:r>
    </w:p>
    <w:p w14:paraId="13252EFD" w14:textId="77777777" w:rsidR="0059677F" w:rsidRDefault="0059677F" w:rsidP="0059677F">
      <w:pPr>
        <w:keepNext/>
        <w:spacing w:beforeLines="100" w:before="240" w:afterLines="100" w:after="240"/>
        <w:jc w:val="center"/>
      </w:pPr>
      <w:r>
        <w:rPr>
          <w:noProof/>
        </w:rPr>
        <w:drawing>
          <wp:inline distT="0" distB="0" distL="0" distR="0" wp14:anchorId="126F6D34" wp14:editId="57BD19D6">
            <wp:extent cx="4361815" cy="1466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61815" cy="1466850"/>
                    </a:xfrm>
                    <a:prstGeom prst="rect">
                      <a:avLst/>
                    </a:prstGeom>
                    <a:noFill/>
                  </pic:spPr>
                </pic:pic>
              </a:graphicData>
            </a:graphic>
          </wp:inline>
        </w:drawing>
      </w:r>
    </w:p>
    <w:p w14:paraId="14885F01" w14:textId="276AF782" w:rsidR="0059677F" w:rsidRPr="00AD3591" w:rsidRDefault="0059677F" w:rsidP="0059677F">
      <w:pPr>
        <w:pStyle w:val="Caption"/>
        <w:jc w:val="center"/>
      </w:pPr>
      <w:r>
        <w:t xml:space="preserve">Figure </w:t>
      </w:r>
      <w:r w:rsidR="00A73279">
        <w:fldChar w:fldCharType="begin"/>
      </w:r>
      <w:r w:rsidR="00A73279">
        <w:instrText xml:space="preserve"> SEQ Figure \* ARABIC </w:instrText>
      </w:r>
      <w:r w:rsidR="00A73279">
        <w:fldChar w:fldCharType="separate"/>
      </w:r>
      <w:r w:rsidR="00170133">
        <w:rPr>
          <w:noProof/>
        </w:rPr>
        <w:t>5</w:t>
      </w:r>
      <w:r w:rsidR="00A73279">
        <w:rPr>
          <w:noProof/>
        </w:rPr>
        <w:fldChar w:fldCharType="end"/>
      </w:r>
      <w:r>
        <w:t xml:space="preserve">. </w:t>
      </w:r>
      <w:r>
        <w:rPr>
          <w:rFonts w:ascii="Arial" w:hAnsi="Arial" w:cs="Arial"/>
          <w:color w:val="000000" w:themeColor="text1"/>
        </w:rPr>
        <w:t>An example of adaptation of PRACH.</w:t>
      </w:r>
      <w:r w:rsidRPr="00AD3591">
        <w:t xml:space="preserve"> </w:t>
      </w:r>
    </w:p>
    <w:p w14:paraId="23025E28" w14:textId="5D7DD38E" w:rsidR="0059677F" w:rsidRPr="00584603" w:rsidRDefault="0059677F" w:rsidP="0059677F">
      <w:pPr>
        <w:spacing w:beforeLines="100" w:before="240" w:afterLines="100" w:after="240"/>
        <w:jc w:val="both"/>
        <w:rPr>
          <w:rFonts w:ascii="Arial" w:eastAsia="DengXian" w:hAnsi="Arial" w:cs="Arial"/>
        </w:rPr>
      </w:pPr>
      <w:r>
        <w:rPr>
          <w:rFonts w:ascii="Arial" w:eastAsia="DengXian" w:hAnsi="Arial" w:cs="Arial"/>
        </w:rPr>
        <w:t xml:space="preserve">Being able to dynamically adapt RACH occasions allows opportunities for NW energy savings. This can be done without requiring System Information update procedure. </w:t>
      </w:r>
      <w:r w:rsidR="00B911E8">
        <w:rPr>
          <w:rFonts w:ascii="Arial" w:eastAsia="DengXian" w:hAnsi="Arial" w:cs="Arial"/>
        </w:rPr>
        <w:t>The</w:t>
      </w:r>
      <w:r>
        <w:rPr>
          <w:rFonts w:ascii="Arial" w:eastAsia="DengXian" w:hAnsi="Arial" w:cs="Arial"/>
        </w:rPr>
        <w:t xml:space="preserve"> additional RACH occasions on an as-needed basis using dynamic signaling. </w:t>
      </w:r>
      <w:r>
        <w:rPr>
          <w:rFonts w:ascii="Arial" w:hAnsi="Arial" w:cs="Arial"/>
        </w:rPr>
        <w:t xml:space="preserve">Dynamic indication is also useful </w:t>
      </w:r>
      <w:r>
        <w:rPr>
          <w:rFonts w:ascii="Arial" w:hAnsi="Arial" w:cs="Arial"/>
          <w:lang w:val="en-GB"/>
        </w:rPr>
        <w:t>to avoid</w:t>
      </w:r>
      <w:r w:rsidRPr="00291500">
        <w:rPr>
          <w:rFonts w:ascii="Arial" w:hAnsi="Arial" w:cs="Arial"/>
          <w:lang w:val="en-GB"/>
        </w:rPr>
        <w:t xml:space="preserve"> PRACH storm may </w:t>
      </w:r>
      <w:r>
        <w:rPr>
          <w:rFonts w:ascii="Arial" w:hAnsi="Arial" w:cs="Arial"/>
          <w:lang w:val="en-GB"/>
        </w:rPr>
        <w:t>follow</w:t>
      </w:r>
      <w:r w:rsidRPr="00291500">
        <w:rPr>
          <w:rFonts w:ascii="Arial" w:hAnsi="Arial" w:cs="Arial"/>
          <w:lang w:val="en-GB"/>
        </w:rPr>
        <w:t xml:space="preserve"> the </w:t>
      </w:r>
      <w:r>
        <w:rPr>
          <w:rFonts w:ascii="Arial" w:hAnsi="Arial" w:cs="Arial"/>
          <w:lang w:val="en-GB"/>
        </w:rPr>
        <w:t xml:space="preserve">condensed </w:t>
      </w:r>
      <w:r w:rsidRPr="00291500">
        <w:rPr>
          <w:rFonts w:ascii="Arial" w:hAnsi="Arial" w:cs="Arial"/>
          <w:lang w:val="en-GB"/>
        </w:rPr>
        <w:t>P</w:t>
      </w:r>
      <w:r>
        <w:rPr>
          <w:rFonts w:ascii="Arial" w:hAnsi="Arial" w:cs="Arial"/>
          <w:lang w:val="en-GB"/>
        </w:rPr>
        <w:t xml:space="preserve">Os (see section 2.3) if </w:t>
      </w:r>
      <w:r w:rsidRPr="00B001D7">
        <w:rPr>
          <w:rFonts w:ascii="Arial" w:hAnsi="Arial" w:cs="Arial"/>
          <w:lang w:val="en-GB"/>
        </w:rPr>
        <w:t xml:space="preserve">many UEs are in the coverage of </w:t>
      </w:r>
      <w:r>
        <w:rPr>
          <w:rFonts w:ascii="Arial" w:hAnsi="Arial" w:cs="Arial"/>
          <w:lang w:val="en-GB"/>
        </w:rPr>
        <w:t>current</w:t>
      </w:r>
      <w:r w:rsidRPr="00B001D7">
        <w:rPr>
          <w:rFonts w:ascii="Arial" w:hAnsi="Arial" w:cs="Arial"/>
          <w:lang w:val="en-GB"/>
        </w:rPr>
        <w:t xml:space="preserve"> gNB</w:t>
      </w:r>
      <w:r>
        <w:rPr>
          <w:rFonts w:ascii="Arial" w:hAnsi="Arial" w:cs="Arial"/>
          <w:lang w:val="en-GB"/>
        </w:rPr>
        <w:t xml:space="preserve">. </w:t>
      </w:r>
      <w:r w:rsidRPr="00CF3697">
        <w:rPr>
          <w:rFonts w:ascii="Arial" w:hAnsi="Arial" w:cs="Arial"/>
          <w:lang w:val="en-GB"/>
        </w:rPr>
        <w:t xml:space="preserve">The sparsely distributed PRACH occasions, initially designed for energy conservation purposes, may struggle to accommodate the simultaneous access demands of numerous UEs. </w:t>
      </w:r>
      <w:r w:rsidRPr="00C66D0D">
        <w:rPr>
          <w:rFonts w:ascii="Arial" w:hAnsi="Arial" w:cs="Arial"/>
          <w:lang w:val="en-GB"/>
        </w:rPr>
        <w:t>Therefore, condensed paging often needs to be used in conjunction with PRACH adaptation.</w:t>
      </w:r>
      <w:r>
        <w:rPr>
          <w:rFonts w:ascii="Arial" w:hAnsi="Arial" w:cs="Arial"/>
          <w:lang w:val="en-GB"/>
        </w:rPr>
        <w:t xml:space="preserve"> </w:t>
      </w:r>
      <w:r w:rsidRPr="00C31945">
        <w:rPr>
          <w:rFonts w:ascii="Arial" w:eastAsia="DengXian" w:hAnsi="Arial" w:cs="Arial"/>
          <w:lang w:val="en-GB"/>
        </w:rPr>
        <w:t xml:space="preserve">In addition, if CHO is triggered for a NES cell, </w:t>
      </w:r>
      <w:r>
        <w:rPr>
          <w:rFonts w:ascii="Arial" w:eastAsia="DengXian" w:hAnsi="Arial" w:cs="Arial"/>
          <w:lang w:val="en-GB"/>
        </w:rPr>
        <w:t>t</w:t>
      </w:r>
      <w:r w:rsidRPr="00C31945">
        <w:rPr>
          <w:rFonts w:ascii="Arial" w:eastAsia="DengXian" w:hAnsi="Arial" w:cs="Arial"/>
          <w:lang w:val="en-GB"/>
        </w:rPr>
        <w:t xml:space="preserve">he target cell may need to quickly change the PRACH configuration and notify the UEs to provide sufficient PRACH resources for the UEs. </w:t>
      </w:r>
      <w:r>
        <w:rPr>
          <w:rFonts w:ascii="Arial" w:eastAsia="DengXian" w:hAnsi="Arial" w:cs="Arial"/>
          <w:lang w:val="en-GB"/>
        </w:rPr>
        <w:t>Therefore, we</w:t>
      </w:r>
      <w:r w:rsidRPr="00C31945">
        <w:rPr>
          <w:rFonts w:ascii="Arial" w:eastAsia="DengXian" w:hAnsi="Arial" w:cs="Arial"/>
          <w:lang w:val="en-GB"/>
        </w:rPr>
        <w:t xml:space="preserve"> </w:t>
      </w:r>
      <w:r>
        <w:rPr>
          <w:rFonts w:ascii="Arial" w:eastAsia="DengXian" w:hAnsi="Arial" w:cs="Arial"/>
          <w:lang w:val="en-GB"/>
        </w:rPr>
        <w:t>propose</w:t>
      </w:r>
      <w:r w:rsidRPr="00C31945">
        <w:rPr>
          <w:rFonts w:ascii="Arial" w:eastAsia="DengXian" w:hAnsi="Arial" w:cs="Arial"/>
          <w:lang w:val="en-GB"/>
        </w:rPr>
        <w:t xml:space="preserve"> using </w:t>
      </w:r>
      <w:r>
        <w:rPr>
          <w:rFonts w:ascii="Arial" w:eastAsia="DengXian" w:hAnsi="Arial" w:cs="Arial"/>
          <w:lang w:val="en-GB"/>
        </w:rPr>
        <w:t xml:space="preserve">dynamic indication such as </w:t>
      </w:r>
      <w:r w:rsidRPr="00C31945">
        <w:rPr>
          <w:rFonts w:ascii="Arial" w:eastAsia="DengXian" w:hAnsi="Arial" w:cs="Arial"/>
          <w:lang w:val="en-GB"/>
        </w:rPr>
        <w:t>DCI for notification of these configuration updates.</w:t>
      </w:r>
      <w:r>
        <w:rPr>
          <w:rFonts w:ascii="Arial" w:eastAsia="DengXian" w:hAnsi="Arial" w:cs="Arial"/>
          <w:lang w:val="en-GB"/>
        </w:rPr>
        <w:t xml:space="preserve"> </w:t>
      </w:r>
      <w:r>
        <w:rPr>
          <w:rFonts w:ascii="Arial" w:hAnsi="Arial" w:cs="Arial"/>
          <w:lang w:val="en-GB"/>
        </w:rPr>
        <w:t xml:space="preserve">Note that </w:t>
      </w:r>
      <w:r>
        <w:rPr>
          <w:rFonts w:ascii="Arial" w:eastAsia="DengXian" w:hAnsi="Arial" w:cs="Arial"/>
        </w:rPr>
        <w:t xml:space="preserve">legacy UEs can still use such a carrier when legacy RACH configuration is configured in system information.  </w:t>
      </w:r>
    </w:p>
    <w:p w14:paraId="19D8449C" w14:textId="77777777" w:rsidR="0059677F" w:rsidRPr="004175D4" w:rsidRDefault="0059677F" w:rsidP="0059677F">
      <w:pPr>
        <w:pStyle w:val="Observation"/>
        <w:numPr>
          <w:ilvl w:val="0"/>
          <w:numId w:val="3"/>
        </w:numPr>
        <w:ind w:left="1560" w:hanging="1560"/>
      </w:pPr>
      <w:bookmarkStart w:id="46" w:name="_Toc159217066"/>
      <w:bookmarkStart w:id="47" w:name="_Toc163213173"/>
      <w:bookmarkStart w:id="48" w:name="_Toc166252122"/>
      <w:r w:rsidRPr="004175D4">
        <w:t>PRACH resources cannot be dynamically adjusted to accommodate changes in traffic load or demand effectively according to the current 3GPP specifications.</w:t>
      </w:r>
      <w:bookmarkEnd w:id="46"/>
      <w:bookmarkEnd w:id="47"/>
      <w:bookmarkEnd w:id="48"/>
    </w:p>
    <w:p w14:paraId="18CCE05A" w14:textId="77777777" w:rsidR="0059677F" w:rsidRPr="004175D4" w:rsidRDefault="0059677F" w:rsidP="0059677F">
      <w:pPr>
        <w:pStyle w:val="Observation"/>
        <w:numPr>
          <w:ilvl w:val="0"/>
          <w:numId w:val="3"/>
        </w:numPr>
        <w:ind w:left="1560" w:hanging="1560"/>
      </w:pPr>
      <w:bookmarkStart w:id="49" w:name="_Toc159217067"/>
      <w:bookmarkStart w:id="50" w:name="_Toc163213174"/>
      <w:bookmarkStart w:id="51" w:name="_Toc166252123"/>
      <w:r w:rsidRPr="004175D4">
        <w:t>Adaptation of PRACH in time domain without SI update is necessary.</w:t>
      </w:r>
      <w:bookmarkEnd w:id="49"/>
      <w:bookmarkEnd w:id="50"/>
      <w:bookmarkEnd w:id="51"/>
    </w:p>
    <w:p w14:paraId="48BABBE8" w14:textId="77777777" w:rsidR="0059677F" w:rsidRDefault="0059677F" w:rsidP="0059677F">
      <w:pPr>
        <w:jc w:val="both"/>
        <w:rPr>
          <w:rFonts w:ascii="Arial" w:hAnsi="Arial" w:cs="Arial"/>
        </w:rPr>
      </w:pPr>
      <w:r>
        <w:rPr>
          <w:rFonts w:ascii="Arial" w:hAnsi="Arial" w:cs="Arial"/>
          <w:lang w:val="en-GB"/>
        </w:rPr>
        <w:t xml:space="preserve">The dynamic adaptation of the additional PRACH resources can be done using DCI based mechanism. Our preference is to support </w:t>
      </w:r>
      <w:r>
        <w:rPr>
          <w:rFonts w:ascii="Arial" w:hAnsi="Arial" w:cs="Arial"/>
        </w:rPr>
        <w:t>d</w:t>
      </w:r>
      <w:r w:rsidRPr="00BF071E">
        <w:rPr>
          <w:rFonts w:ascii="Arial" w:hAnsi="Arial" w:cs="Arial"/>
        </w:rPr>
        <w:t xml:space="preserve">ynamic indication </w:t>
      </w:r>
      <w:r>
        <w:rPr>
          <w:rFonts w:ascii="Arial" w:hAnsi="Arial" w:cs="Arial"/>
        </w:rPr>
        <w:t xml:space="preserve">without increasing UE blind decoding budgets, for example, by reusing the existing DCI format 1_0 (or other DCIs that UEs monitor in idle/inactive such as 2_7, or a new DCI that is size matched to 1_0/2_7, etc) and search spaces as much as possible. Main benefit of PRACH adaptation comes when it is applied for idle/inactive UEs, and hence the search spaces/coresets configured via SI would be useful for the DCI based indication. </w:t>
      </w:r>
    </w:p>
    <w:p w14:paraId="3EC792F7" w14:textId="77777777" w:rsidR="0059677F" w:rsidRDefault="0059677F" w:rsidP="0059677F">
      <w:pPr>
        <w:pStyle w:val="Proposal"/>
        <w:numPr>
          <w:ilvl w:val="0"/>
          <w:numId w:val="4"/>
        </w:numPr>
        <w:rPr>
          <w:rFonts w:cs="Arial"/>
          <w:lang w:val="en-CA"/>
        </w:rPr>
      </w:pPr>
      <w:bookmarkStart w:id="52" w:name="_Toc163213197"/>
      <w:bookmarkStart w:id="53" w:name="_Toc166252152"/>
      <w:r>
        <w:rPr>
          <w:rFonts w:cs="Arial"/>
          <w:lang w:val="en-CA"/>
        </w:rPr>
        <w:t xml:space="preserve">Support dynamic adaptation of the </w:t>
      </w:r>
      <w:r w:rsidRPr="001C59A9">
        <w:rPr>
          <w:rFonts w:cs="Arial"/>
          <w:lang w:val="en-CA"/>
        </w:rPr>
        <w:t xml:space="preserve">additional </w:t>
      </w:r>
      <w:r>
        <w:rPr>
          <w:rFonts w:cs="Arial"/>
          <w:lang w:val="en-CA"/>
        </w:rPr>
        <w:t>PRACH</w:t>
      </w:r>
      <w:r w:rsidRPr="001C59A9">
        <w:rPr>
          <w:rFonts w:cs="Arial"/>
          <w:lang w:val="en-CA"/>
        </w:rPr>
        <w:t xml:space="preserve"> </w:t>
      </w:r>
      <w:r>
        <w:rPr>
          <w:rFonts w:cs="Arial"/>
          <w:lang w:val="en-CA"/>
        </w:rPr>
        <w:t>resources for Rel-19</w:t>
      </w:r>
      <w:r w:rsidRPr="001C59A9">
        <w:rPr>
          <w:rFonts w:cs="Arial"/>
          <w:lang w:val="en-CA"/>
        </w:rPr>
        <w:t xml:space="preserve"> </w:t>
      </w:r>
      <w:r>
        <w:rPr>
          <w:rFonts w:cs="Arial"/>
          <w:lang w:val="en-CA"/>
        </w:rPr>
        <w:t>UEs, e.g. based on DCI indication.</w:t>
      </w:r>
      <w:bookmarkEnd w:id="52"/>
      <w:bookmarkEnd w:id="53"/>
    </w:p>
    <w:p w14:paraId="095DE5DA" w14:textId="77777777" w:rsidR="0059677F" w:rsidRPr="00C31945" w:rsidRDefault="0059677F" w:rsidP="0059677F">
      <w:pPr>
        <w:jc w:val="both"/>
        <w:rPr>
          <w:rFonts w:ascii="Arial" w:eastAsia="DengXian" w:hAnsi="Arial" w:cs="Arial"/>
          <w:lang w:val="en-GB"/>
        </w:rPr>
      </w:pPr>
      <w:r>
        <w:rPr>
          <w:rFonts w:ascii="Arial" w:hAnsi="Arial" w:cs="Arial"/>
          <w:lang w:val="en-GB"/>
        </w:rPr>
        <w:t xml:space="preserve">Regarding the configuration of additional PRACH resources for Rel-19 UEs, there are several possibilities. The simplest is </w:t>
      </w:r>
      <w:r w:rsidRPr="00C31945">
        <w:rPr>
          <w:rFonts w:ascii="Arial" w:eastAsia="DengXian" w:hAnsi="Arial" w:cs="Arial"/>
          <w:lang w:val="en-GB"/>
        </w:rPr>
        <w:t xml:space="preserve">to provide </w:t>
      </w:r>
      <w:r>
        <w:rPr>
          <w:rFonts w:ascii="Arial" w:eastAsia="DengXian" w:hAnsi="Arial" w:cs="Arial"/>
          <w:lang w:val="en-GB"/>
        </w:rPr>
        <w:t>an additional</w:t>
      </w:r>
      <w:r w:rsidRPr="00C31945">
        <w:rPr>
          <w:rFonts w:ascii="Arial" w:eastAsia="DengXian" w:hAnsi="Arial" w:cs="Arial"/>
          <w:lang w:val="en-GB"/>
        </w:rPr>
        <w:t xml:space="preserve"> RACH configuration </w:t>
      </w:r>
      <w:r>
        <w:rPr>
          <w:rFonts w:ascii="Arial" w:eastAsia="DengXian" w:hAnsi="Arial" w:cs="Arial"/>
          <w:lang w:val="en-GB"/>
        </w:rPr>
        <w:t>from legacy spec (</w:t>
      </w:r>
      <w:r w:rsidRPr="00C31945">
        <w:rPr>
          <w:rFonts w:ascii="Arial" w:eastAsia="DengXian" w:hAnsi="Arial" w:cs="Arial"/>
          <w:lang w:val="en-GB"/>
        </w:rPr>
        <w:t>as per TS38.211</w:t>
      </w:r>
      <w:r>
        <w:rPr>
          <w:rFonts w:ascii="Arial" w:eastAsia="DengXian" w:hAnsi="Arial" w:cs="Arial"/>
          <w:lang w:val="en-GB"/>
        </w:rPr>
        <w:t>)</w:t>
      </w:r>
      <w:r w:rsidRPr="00C31945">
        <w:rPr>
          <w:rFonts w:ascii="Arial" w:eastAsia="DengXian" w:hAnsi="Arial" w:cs="Arial"/>
          <w:lang w:val="en-GB"/>
        </w:rPr>
        <w:t xml:space="preserve">. In addition, some </w:t>
      </w:r>
      <w:r>
        <w:rPr>
          <w:rFonts w:ascii="Arial" w:eastAsia="DengXian" w:hAnsi="Arial" w:cs="Arial"/>
          <w:lang w:val="en-GB"/>
        </w:rPr>
        <w:t xml:space="preserve">additional </w:t>
      </w:r>
      <w:r w:rsidRPr="00C31945">
        <w:rPr>
          <w:rFonts w:ascii="Arial" w:eastAsia="DengXian" w:hAnsi="Arial" w:cs="Arial"/>
          <w:lang w:val="en-GB"/>
        </w:rPr>
        <w:t xml:space="preserve">parameters </w:t>
      </w:r>
      <w:r>
        <w:rPr>
          <w:rFonts w:ascii="Arial" w:eastAsia="DengXian" w:hAnsi="Arial" w:cs="Arial"/>
          <w:lang w:val="en-GB"/>
        </w:rPr>
        <w:t>could</w:t>
      </w:r>
      <w:r w:rsidRPr="00C31945">
        <w:rPr>
          <w:rFonts w:ascii="Arial" w:eastAsia="DengXian" w:hAnsi="Arial" w:cs="Arial"/>
          <w:lang w:val="en-GB"/>
        </w:rPr>
        <w:t xml:space="preserve"> be introduced to increase the flexibility of the configuration, such as time offsets, etc. An example provision</w:t>
      </w:r>
      <w:r>
        <w:rPr>
          <w:rFonts w:ascii="Arial" w:eastAsia="DengXian" w:hAnsi="Arial" w:cs="Arial"/>
          <w:lang w:val="en-GB"/>
        </w:rPr>
        <w:t>ing</w:t>
      </w:r>
      <w:r w:rsidRPr="00C31945">
        <w:rPr>
          <w:rFonts w:ascii="Arial" w:eastAsia="DengXian" w:hAnsi="Arial" w:cs="Arial"/>
          <w:lang w:val="en-GB"/>
        </w:rPr>
        <w:t xml:space="preserve"> of addition PRACH configuration is given in Figure 5, where NW provides legacy UE ROs </w:t>
      </w:r>
      <w:r>
        <w:rPr>
          <w:rFonts w:ascii="Arial" w:eastAsia="DengXian" w:hAnsi="Arial" w:cs="Arial"/>
          <w:lang w:val="en-GB"/>
        </w:rPr>
        <w:t>as 1</w:t>
      </w:r>
      <w:r w:rsidRPr="004B3167">
        <w:rPr>
          <w:rFonts w:ascii="Arial" w:eastAsia="DengXian" w:hAnsi="Arial" w:cs="Arial"/>
          <w:vertAlign w:val="superscript"/>
          <w:lang w:val="en-GB"/>
        </w:rPr>
        <w:t>st</w:t>
      </w:r>
      <w:r>
        <w:rPr>
          <w:rFonts w:ascii="Arial" w:eastAsia="DengXian" w:hAnsi="Arial" w:cs="Arial"/>
          <w:lang w:val="en-GB"/>
        </w:rPr>
        <w:t xml:space="preserve"> PRACH configuration </w:t>
      </w:r>
      <w:r w:rsidRPr="00C31945">
        <w:rPr>
          <w:rFonts w:ascii="Arial" w:eastAsia="DengXian" w:hAnsi="Arial" w:cs="Arial"/>
          <w:lang w:val="en-GB"/>
        </w:rPr>
        <w:t xml:space="preserve">in yellow. The additional </w:t>
      </w:r>
      <w:r>
        <w:rPr>
          <w:rFonts w:ascii="Arial" w:eastAsia="DengXian" w:hAnsi="Arial" w:cs="Arial"/>
          <w:lang w:val="en-GB"/>
        </w:rPr>
        <w:t>or 2</w:t>
      </w:r>
      <w:r w:rsidRPr="004B3167">
        <w:rPr>
          <w:rFonts w:ascii="Arial" w:eastAsia="DengXian" w:hAnsi="Arial" w:cs="Arial"/>
          <w:vertAlign w:val="superscript"/>
          <w:lang w:val="en-GB"/>
        </w:rPr>
        <w:t>nd</w:t>
      </w:r>
      <w:r>
        <w:rPr>
          <w:rFonts w:ascii="Arial" w:eastAsia="DengXian" w:hAnsi="Arial" w:cs="Arial"/>
          <w:lang w:val="en-GB"/>
        </w:rPr>
        <w:t xml:space="preserve"> </w:t>
      </w:r>
      <w:r w:rsidRPr="00C31945">
        <w:rPr>
          <w:rFonts w:ascii="Arial" w:eastAsia="DengXian" w:hAnsi="Arial" w:cs="Arial"/>
          <w:lang w:val="en-GB"/>
        </w:rPr>
        <w:t xml:space="preserve">PRACH configuration is </w:t>
      </w:r>
      <w:r>
        <w:rPr>
          <w:rFonts w:ascii="Arial" w:eastAsia="DengXian" w:hAnsi="Arial" w:cs="Arial"/>
          <w:lang w:val="en-GB"/>
        </w:rPr>
        <w:t>selected</w:t>
      </w:r>
      <w:r w:rsidRPr="00C31945">
        <w:rPr>
          <w:rFonts w:ascii="Arial" w:eastAsia="DengXian" w:hAnsi="Arial" w:cs="Arial"/>
          <w:lang w:val="en-GB"/>
        </w:rPr>
        <w:t xml:space="preserve"> from specs</w:t>
      </w:r>
      <w:r>
        <w:rPr>
          <w:rFonts w:ascii="Arial" w:eastAsia="DengXian" w:hAnsi="Arial" w:cs="Arial"/>
          <w:lang w:val="en-GB"/>
        </w:rPr>
        <w:t xml:space="preserve"> with an additional time-offset to space the ROs relative to the ROs of the 1</w:t>
      </w:r>
      <w:r w:rsidRPr="004B3167">
        <w:rPr>
          <w:rFonts w:ascii="Arial" w:eastAsia="DengXian" w:hAnsi="Arial" w:cs="Arial"/>
          <w:vertAlign w:val="superscript"/>
          <w:lang w:val="en-GB"/>
        </w:rPr>
        <w:t>st</w:t>
      </w:r>
      <w:r>
        <w:rPr>
          <w:rFonts w:ascii="Arial" w:eastAsia="DengXian" w:hAnsi="Arial" w:cs="Arial"/>
          <w:lang w:val="en-GB"/>
        </w:rPr>
        <w:t xml:space="preserve"> PRACH configuration</w:t>
      </w:r>
      <w:r w:rsidRPr="00C31945">
        <w:rPr>
          <w:rFonts w:ascii="Arial" w:eastAsia="DengXian" w:hAnsi="Arial" w:cs="Arial"/>
          <w:lang w:val="en-GB"/>
        </w:rPr>
        <w:t>.</w:t>
      </w:r>
      <w:r>
        <w:rPr>
          <w:rFonts w:ascii="Arial" w:eastAsia="DengXian" w:hAnsi="Arial" w:cs="Arial"/>
          <w:lang w:val="en-GB"/>
        </w:rPr>
        <w:t xml:space="preserve"> The 2</w:t>
      </w:r>
      <w:r w:rsidRPr="004B3167">
        <w:rPr>
          <w:rFonts w:ascii="Arial" w:eastAsia="DengXian" w:hAnsi="Arial" w:cs="Arial"/>
          <w:vertAlign w:val="superscript"/>
          <w:lang w:val="en-GB"/>
        </w:rPr>
        <w:t>nd</w:t>
      </w:r>
      <w:r>
        <w:rPr>
          <w:rFonts w:ascii="Arial" w:eastAsia="DengXian" w:hAnsi="Arial" w:cs="Arial"/>
          <w:lang w:val="en-GB"/>
        </w:rPr>
        <w:t xml:space="preserve"> PRACH configuration can also facilitate provisioning of condensed ROs close to the condensed POs (discussed in Section 2.3), creating long sleep opportunities for the gNB. </w:t>
      </w:r>
    </w:p>
    <w:p w14:paraId="724780AF" w14:textId="77777777" w:rsidR="0059677F" w:rsidRPr="004B3167" w:rsidRDefault="0059677F" w:rsidP="0059677F">
      <w:pPr>
        <w:keepNext/>
        <w:jc w:val="center"/>
      </w:pPr>
      <w:r>
        <w:rPr>
          <w:noProof/>
        </w:rPr>
        <w:drawing>
          <wp:inline distT="0" distB="0" distL="0" distR="0" wp14:anchorId="5E707720" wp14:editId="1B96F79F">
            <wp:extent cx="6057265" cy="1962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7265" cy="1962150"/>
                    </a:xfrm>
                    <a:prstGeom prst="rect">
                      <a:avLst/>
                    </a:prstGeom>
                    <a:noFill/>
                  </pic:spPr>
                </pic:pic>
              </a:graphicData>
            </a:graphic>
          </wp:inline>
        </w:drawing>
      </w:r>
    </w:p>
    <w:p w14:paraId="3C20A506" w14:textId="7F8BB2CE" w:rsidR="0059677F" w:rsidRPr="00AD3591" w:rsidRDefault="0059677F" w:rsidP="0059677F">
      <w:pPr>
        <w:pStyle w:val="Caption"/>
        <w:jc w:val="center"/>
      </w:pPr>
      <w:r>
        <w:t xml:space="preserve">Figure </w:t>
      </w:r>
      <w:r w:rsidR="00A73279">
        <w:fldChar w:fldCharType="begin"/>
      </w:r>
      <w:r w:rsidR="00A73279">
        <w:instrText xml:space="preserve"> SEQ Figure \* ARABIC </w:instrText>
      </w:r>
      <w:r w:rsidR="00A73279">
        <w:fldChar w:fldCharType="separate"/>
      </w:r>
      <w:r w:rsidR="00170133">
        <w:rPr>
          <w:noProof/>
        </w:rPr>
        <w:t>6</w:t>
      </w:r>
      <w:r w:rsidR="00A73279">
        <w:rPr>
          <w:noProof/>
        </w:rPr>
        <w:fldChar w:fldCharType="end"/>
      </w:r>
      <w:r>
        <w:t xml:space="preserve">. </w:t>
      </w:r>
      <w:r w:rsidRPr="00AD3591">
        <w:t xml:space="preserve">Adaptation </w:t>
      </w:r>
      <w:r>
        <w:t>based on two</w:t>
      </w:r>
      <w:r w:rsidRPr="00AD3591">
        <w:t xml:space="preserve"> PRACH configuration</w:t>
      </w:r>
      <w:r>
        <w:t xml:space="preserve">s - </w:t>
      </w:r>
      <w:r w:rsidRPr="00AD3591">
        <w:t>1st PRACH configuration</w:t>
      </w:r>
      <w:r>
        <w:t xml:space="preserve"> </w:t>
      </w:r>
      <w:r w:rsidRPr="00AD3591">
        <w:t>(e.g. legacy) and 2nd PRACH configuration (e.g. for Rel-19</w:t>
      </w:r>
      <w:r>
        <w:t xml:space="preserve"> UEs).</w:t>
      </w:r>
    </w:p>
    <w:p w14:paraId="2D83AF06" w14:textId="2145C61D" w:rsidR="00B911E8" w:rsidRDefault="00B911E8" w:rsidP="00B911E8">
      <w:pPr>
        <w:spacing w:beforeLines="100" w:before="240" w:afterLines="100" w:after="240"/>
        <w:jc w:val="both"/>
        <w:rPr>
          <w:rFonts w:ascii="Arial" w:eastAsia="DengXian" w:hAnsi="Arial" w:cs="Arial"/>
        </w:rPr>
      </w:pPr>
      <w:r>
        <w:rPr>
          <w:rFonts w:ascii="Arial" w:eastAsia="DengXian" w:hAnsi="Arial" w:cs="Arial"/>
        </w:rPr>
        <w:t xml:space="preserve">When additional PRACH resources are provided, it is possible that there are overlaps between legacy and additional PRACH resource. Although it is agreed that </w:t>
      </w:r>
      <w:r w:rsidRPr="007D6B35">
        <w:rPr>
          <w:rFonts w:ascii="Arial" w:eastAsia="DengXian" w:hAnsi="Arial" w:cs="Arial"/>
        </w:rPr>
        <w:t>SSB-RO mapping for the additional PRACH resources is separate from the SSB-RO mapping of the PRACH resources for legacy UEs</w:t>
      </w:r>
      <w:r>
        <w:rPr>
          <w:rFonts w:ascii="Arial" w:eastAsia="DengXian" w:hAnsi="Arial" w:cs="Arial"/>
        </w:rPr>
        <w:t>, if a cell receive a preamble corresponding to a RO which is covered by different PRACH resources from different configurations, the cell needs to know which SSB-RO mapping mechanism it should use. Otherwise, the corresponding RO may be related to a wrong SSB beam index. NW has few options to get above information and one option is to reserve some preambles for legacy and NES UEs separately. However, this</w:t>
      </w:r>
      <w:r w:rsidRPr="00FD2E31">
        <w:rPr>
          <w:rFonts w:ascii="Arial" w:eastAsia="DengXian" w:hAnsi="Arial" w:cs="Arial"/>
        </w:rPr>
        <w:t xml:space="preserve"> </w:t>
      </w:r>
      <w:r>
        <w:rPr>
          <w:rFonts w:ascii="Arial" w:eastAsia="DengXian" w:hAnsi="Arial" w:cs="Arial"/>
        </w:rPr>
        <w:t xml:space="preserve">option </w:t>
      </w:r>
      <w:r w:rsidRPr="00FD2E31">
        <w:rPr>
          <w:rFonts w:ascii="Arial" w:eastAsia="DengXian" w:hAnsi="Arial" w:cs="Arial"/>
        </w:rPr>
        <w:t xml:space="preserve">will limit the number of UEs that the </w:t>
      </w:r>
      <w:r>
        <w:rPr>
          <w:rFonts w:ascii="Arial" w:eastAsia="DengXian" w:hAnsi="Arial" w:cs="Arial"/>
        </w:rPr>
        <w:t>PRACH resource</w:t>
      </w:r>
      <w:r w:rsidRPr="00FD2E31">
        <w:rPr>
          <w:rFonts w:ascii="Arial" w:eastAsia="DengXian" w:hAnsi="Arial" w:cs="Arial"/>
        </w:rPr>
        <w:t xml:space="preserve"> can </w:t>
      </w:r>
      <w:r>
        <w:rPr>
          <w:rFonts w:ascii="Arial" w:eastAsia="DengXian" w:hAnsi="Arial" w:cs="Arial"/>
        </w:rPr>
        <w:t>handle</w:t>
      </w:r>
      <w:r w:rsidRPr="00FD2E31">
        <w:rPr>
          <w:rFonts w:ascii="Arial" w:eastAsia="DengXian" w:hAnsi="Arial" w:cs="Arial"/>
        </w:rPr>
        <w:t xml:space="preserve">, </w:t>
      </w:r>
      <w:r>
        <w:rPr>
          <w:rFonts w:ascii="Arial" w:eastAsia="DengXian" w:hAnsi="Arial" w:cs="Arial"/>
        </w:rPr>
        <w:t>resulting in</w:t>
      </w:r>
      <w:r w:rsidRPr="00FD2E31">
        <w:rPr>
          <w:rFonts w:ascii="Arial" w:eastAsia="DengXian" w:hAnsi="Arial" w:cs="Arial"/>
        </w:rPr>
        <w:t xml:space="preserve"> increased competition</w:t>
      </w:r>
      <w:r>
        <w:rPr>
          <w:rFonts w:ascii="Arial" w:eastAsia="DengXian" w:hAnsi="Arial" w:cs="Arial"/>
        </w:rPr>
        <w:t>s, which c</w:t>
      </w:r>
      <w:r w:rsidRPr="00FD2E31">
        <w:rPr>
          <w:rFonts w:ascii="Arial" w:eastAsia="DengXian" w:hAnsi="Arial" w:cs="Arial"/>
        </w:rPr>
        <w:t>ontradicts the motivation for providing additional PRACH resources.</w:t>
      </w:r>
      <w:r>
        <w:rPr>
          <w:rFonts w:ascii="Arial" w:eastAsia="DengXian" w:hAnsi="Arial" w:cs="Arial"/>
        </w:rPr>
        <w:t xml:space="preserve"> </w:t>
      </w:r>
      <w:r w:rsidRPr="003503F6">
        <w:rPr>
          <w:rFonts w:ascii="Arial" w:eastAsia="DengXian" w:hAnsi="Arial" w:cs="Arial"/>
        </w:rPr>
        <w:t>Therefore, a more reasonable approach is to avoid additional resource overlap with legacy resources. This eliminates the need to consider the problem that the cell cannot determine the correct SSB beam during the SSB-RO mapping process</w:t>
      </w:r>
      <w:r>
        <w:rPr>
          <w:rFonts w:ascii="Arial" w:eastAsia="DengXian" w:hAnsi="Arial" w:cs="Arial"/>
        </w:rPr>
        <w:t xml:space="preserve"> and </w:t>
      </w:r>
      <w:r w:rsidRPr="008B16F5">
        <w:rPr>
          <w:rFonts w:ascii="Arial" w:eastAsia="DengXian" w:hAnsi="Arial" w:cs="Arial"/>
        </w:rPr>
        <w:t>ensure that additional resources are fully available</w:t>
      </w:r>
      <w:r>
        <w:rPr>
          <w:rFonts w:ascii="Arial" w:eastAsia="DengXian" w:hAnsi="Arial" w:cs="Arial"/>
        </w:rPr>
        <w:t xml:space="preserve"> NES UEs.</w:t>
      </w:r>
    </w:p>
    <w:p w14:paraId="70BFD0CC" w14:textId="77777777" w:rsidR="00A6063F" w:rsidRPr="00CF17EE" w:rsidRDefault="00A6063F" w:rsidP="00A6063F">
      <w:pPr>
        <w:pStyle w:val="Observation"/>
        <w:numPr>
          <w:ilvl w:val="0"/>
          <w:numId w:val="3"/>
        </w:numPr>
        <w:ind w:left="1560" w:hanging="1560"/>
        <w:rPr>
          <w:rFonts w:cs="Arial"/>
          <w:lang w:val="en-CA"/>
        </w:rPr>
      </w:pPr>
      <w:bookmarkStart w:id="54" w:name="_Toc165984154"/>
      <w:bookmarkStart w:id="55" w:name="_Toc166252124"/>
      <w:r>
        <w:rPr>
          <w:rFonts w:cs="Arial"/>
          <w:lang w:val="en-CA"/>
        </w:rPr>
        <w:t>Avoiding</w:t>
      </w:r>
      <w:r w:rsidRPr="00CF17EE">
        <w:rPr>
          <w:rFonts w:cs="Arial"/>
          <w:lang w:val="en-CA"/>
        </w:rPr>
        <w:t xml:space="preserve"> overlaps between legacy and additional PRACH resource </w:t>
      </w:r>
      <w:r>
        <w:rPr>
          <w:rFonts w:cs="Arial"/>
          <w:lang w:val="en-CA"/>
        </w:rPr>
        <w:t>facilitates simpler</w:t>
      </w:r>
      <w:r w:rsidRPr="00CF17EE">
        <w:rPr>
          <w:rFonts w:cs="Arial"/>
          <w:lang w:val="en-CA"/>
        </w:rPr>
        <w:t xml:space="preserve"> SSB-RO mapping </w:t>
      </w:r>
      <w:r>
        <w:rPr>
          <w:rFonts w:cs="Arial"/>
          <w:lang w:val="en-CA"/>
        </w:rPr>
        <w:t>for the additional</w:t>
      </w:r>
      <w:r w:rsidRPr="00CF17EE">
        <w:rPr>
          <w:rFonts w:cs="Arial"/>
          <w:lang w:val="en-CA"/>
        </w:rPr>
        <w:t xml:space="preserve"> PRACH resource.</w:t>
      </w:r>
      <w:bookmarkEnd w:id="54"/>
      <w:bookmarkEnd w:id="55"/>
    </w:p>
    <w:p w14:paraId="5BEB6507" w14:textId="0EC70F07" w:rsidR="00B911E8" w:rsidRPr="00FE61C2" w:rsidRDefault="00B911E8" w:rsidP="00B911E8">
      <w:pPr>
        <w:pStyle w:val="Proposal"/>
        <w:numPr>
          <w:ilvl w:val="0"/>
          <w:numId w:val="4"/>
        </w:numPr>
        <w:rPr>
          <w:rFonts w:cs="Arial"/>
          <w:lang w:val="en-CA"/>
        </w:rPr>
      </w:pPr>
      <w:bookmarkStart w:id="56" w:name="_Toc166252153"/>
      <w:r>
        <w:rPr>
          <w:rFonts w:cs="Arial"/>
          <w:lang w:val="en-CA"/>
        </w:rPr>
        <w:t xml:space="preserve">Support at least the case where the additional </w:t>
      </w:r>
      <w:r w:rsidRPr="00456034">
        <w:rPr>
          <w:rFonts w:cs="Arial"/>
          <w:lang w:val="en-CA"/>
        </w:rPr>
        <w:t>PRACH resources and PRACH resources for legacy UEs</w:t>
      </w:r>
      <w:r>
        <w:rPr>
          <w:rFonts w:cs="Arial"/>
          <w:lang w:val="en-CA"/>
        </w:rPr>
        <w:t xml:space="preserve"> are non-overlapping in time-domain</w:t>
      </w:r>
      <w:r>
        <w:rPr>
          <w:rFonts w:cs="Arial"/>
        </w:rPr>
        <w:t>.</w:t>
      </w:r>
      <w:bookmarkEnd w:id="56"/>
    </w:p>
    <w:p w14:paraId="2FDE417D" w14:textId="17E3C93F" w:rsidR="00B911E8" w:rsidRDefault="00B911E8" w:rsidP="00B911E8">
      <w:pPr>
        <w:spacing w:beforeLines="100" w:before="240" w:afterLines="100" w:after="240"/>
        <w:jc w:val="both"/>
        <w:rPr>
          <w:rFonts w:ascii="Arial" w:eastAsia="DengXian" w:hAnsi="Arial" w:cs="Arial"/>
        </w:rPr>
      </w:pPr>
      <w:bookmarkStart w:id="57" w:name="_Hlk165921196"/>
      <w:r w:rsidRPr="003D130D">
        <w:rPr>
          <w:rFonts w:ascii="Arial" w:eastAsia="DengXian" w:hAnsi="Arial" w:cs="Arial"/>
        </w:rPr>
        <w:t xml:space="preserve">In addition, for some overlaps that are difficult to completely avoid, </w:t>
      </w:r>
      <w:r>
        <w:rPr>
          <w:rFonts w:ascii="Arial" w:eastAsia="DengXian" w:hAnsi="Arial" w:cs="Arial"/>
        </w:rPr>
        <w:t>applying</w:t>
      </w:r>
      <w:r w:rsidRPr="003D130D">
        <w:rPr>
          <w:rFonts w:ascii="Arial" w:eastAsia="DengXian" w:hAnsi="Arial" w:cs="Arial"/>
        </w:rPr>
        <w:t xml:space="preserve"> </w:t>
      </w:r>
      <w:r>
        <w:rPr>
          <w:rFonts w:ascii="Arial" w:eastAsia="DengXian" w:hAnsi="Arial" w:cs="Arial"/>
        </w:rPr>
        <w:t>time/frequency</w:t>
      </w:r>
      <w:r w:rsidRPr="003D130D">
        <w:rPr>
          <w:rFonts w:ascii="Arial" w:eastAsia="DengXian" w:hAnsi="Arial" w:cs="Arial"/>
        </w:rPr>
        <w:t xml:space="preserve"> offset for additional PRACH resources</w:t>
      </w:r>
      <w:r w:rsidR="002A63E4">
        <w:rPr>
          <w:rFonts w:ascii="Arial" w:eastAsia="DengXian" w:hAnsi="Arial" w:cs="Arial"/>
        </w:rPr>
        <w:t xml:space="preserve"> can be useful</w:t>
      </w:r>
      <w:r w:rsidRPr="003D130D">
        <w:rPr>
          <w:rFonts w:ascii="Arial" w:eastAsia="DengXian" w:hAnsi="Arial" w:cs="Arial"/>
        </w:rPr>
        <w:t>. This can also increase the selection range of additional resource configurations and improve the flexibility of selection.</w:t>
      </w:r>
      <w:r>
        <w:rPr>
          <w:rFonts w:ascii="Arial" w:eastAsia="DengXian" w:hAnsi="Arial" w:cs="Arial" w:hint="eastAsia"/>
        </w:rPr>
        <w:t xml:space="preserve"> </w:t>
      </w:r>
      <w:r>
        <w:rPr>
          <w:rFonts w:ascii="Arial" w:eastAsia="DengXian" w:hAnsi="Arial" w:cs="Arial"/>
        </w:rPr>
        <w:t xml:space="preserve">For example, when the legacy configuration is index 5 from table in 38.211, the additional PRACH could chose index 17, as shown in </w:t>
      </w:r>
      <w:r>
        <w:rPr>
          <w:rFonts w:ascii="Arial" w:eastAsia="DengXian" w:hAnsi="Arial" w:cs="Arial"/>
        </w:rPr>
        <w:fldChar w:fldCharType="begin"/>
      </w:r>
      <w:r>
        <w:rPr>
          <w:rFonts w:ascii="Arial" w:eastAsia="DengXian" w:hAnsi="Arial" w:cs="Arial"/>
        </w:rPr>
        <w:instrText xml:space="preserve"> REF _Ref165983367 \h  \* MERGEFORMAT </w:instrText>
      </w:r>
      <w:r>
        <w:rPr>
          <w:rFonts w:ascii="Arial" w:eastAsia="DengXian" w:hAnsi="Arial" w:cs="Arial"/>
        </w:rPr>
      </w:r>
      <w:r>
        <w:rPr>
          <w:rFonts w:ascii="Arial" w:eastAsia="DengXian" w:hAnsi="Arial" w:cs="Arial"/>
        </w:rPr>
        <w:fldChar w:fldCharType="separate"/>
      </w:r>
      <w:r w:rsidRPr="006654E1">
        <w:rPr>
          <w:rFonts w:ascii="Arial" w:eastAsia="DengXian" w:hAnsi="Arial" w:cs="Arial"/>
        </w:rPr>
        <w:t>Figure 6</w:t>
      </w:r>
      <w:r>
        <w:rPr>
          <w:rFonts w:ascii="Arial" w:eastAsia="DengXian" w:hAnsi="Arial" w:cs="Arial"/>
        </w:rPr>
        <w:fldChar w:fldCharType="end"/>
      </w:r>
      <w:r w:rsidRPr="002128C6">
        <w:rPr>
          <w:rFonts w:ascii="Arial" w:eastAsia="DengXian" w:hAnsi="Arial" w:cs="Arial"/>
        </w:rPr>
        <w:t xml:space="preserve">, where 8 SSBs </w:t>
      </w:r>
      <w:r>
        <w:rPr>
          <w:rFonts w:ascii="Arial" w:eastAsia="DengXian" w:hAnsi="Arial" w:cs="Arial"/>
        </w:rPr>
        <w:t xml:space="preserve">and </w:t>
      </w:r>
      <w:r w:rsidRPr="000A0145">
        <w:rPr>
          <w:rFonts w:ascii="Arial" w:eastAsia="DengXian" w:hAnsi="Arial" w:cs="Arial"/>
          <w:i/>
          <w:iCs/>
        </w:rPr>
        <w:t>ssb-perRACH-Occasion</w:t>
      </w:r>
      <w:r>
        <w:rPr>
          <w:rFonts w:ascii="Arial" w:eastAsia="DengXian" w:hAnsi="Arial" w:cs="Arial"/>
        </w:rPr>
        <w:t xml:space="preserve"> = 1</w:t>
      </w:r>
      <w:r w:rsidRPr="000A0145">
        <w:rPr>
          <w:rFonts w:ascii="Arial" w:eastAsia="DengXian" w:hAnsi="Arial" w:cs="Arial"/>
        </w:rPr>
        <w:t xml:space="preserve"> </w:t>
      </w:r>
      <w:r w:rsidRPr="002128C6">
        <w:rPr>
          <w:rFonts w:ascii="Arial" w:eastAsia="DengXian" w:hAnsi="Arial" w:cs="Arial"/>
        </w:rPr>
        <w:t>are assumed</w:t>
      </w:r>
      <w:r>
        <w:rPr>
          <w:rFonts w:ascii="Arial" w:eastAsia="DengXian" w:hAnsi="Arial" w:cs="Arial"/>
        </w:rPr>
        <w:t xml:space="preserve">. There are overlaps in Frame 0 and Frame 2 which are marked in red. Both NW and UEs can ignore those overlaps when generating SSB-RO mapping for additional PRACH resource. But the amount of available PRACH resources is reduced, in this case, by 1/3. If time offset is applied to configuration index 17, e.g., one slot </w:t>
      </w:r>
      <w:r w:rsidR="002A63E4">
        <w:rPr>
          <w:rFonts w:ascii="Arial" w:eastAsia="DengXian" w:hAnsi="Arial" w:cs="Arial"/>
        </w:rPr>
        <w:t>offset</w:t>
      </w:r>
      <w:r>
        <w:rPr>
          <w:rFonts w:ascii="Arial" w:eastAsia="DengXian" w:hAnsi="Arial" w:cs="Arial"/>
        </w:rPr>
        <w:t xml:space="preserve">, then all </w:t>
      </w:r>
      <w:r w:rsidR="002A63E4" w:rsidRPr="00FE61C2">
        <w:rPr>
          <w:rFonts w:ascii="Arial" w:eastAsia="DengXian" w:hAnsi="Arial" w:cs="Arial"/>
          <w:i/>
          <w:iCs/>
        </w:rPr>
        <w:t>additional</w:t>
      </w:r>
      <w:r w:rsidR="002A63E4">
        <w:rPr>
          <w:rFonts w:ascii="Arial" w:eastAsia="DengXian" w:hAnsi="Arial" w:cs="Arial"/>
        </w:rPr>
        <w:t xml:space="preserve"> </w:t>
      </w:r>
      <w:r>
        <w:rPr>
          <w:rFonts w:ascii="Arial" w:eastAsia="DengXian" w:hAnsi="Arial" w:cs="Arial"/>
        </w:rPr>
        <w:t>PRACH resource</w:t>
      </w:r>
      <w:r w:rsidR="002A63E4">
        <w:rPr>
          <w:rFonts w:ascii="Arial" w:eastAsia="DengXian" w:hAnsi="Arial" w:cs="Arial"/>
        </w:rPr>
        <w:t>s</w:t>
      </w:r>
      <w:r>
        <w:rPr>
          <w:rFonts w:ascii="Arial" w:eastAsia="DengXian" w:hAnsi="Arial" w:cs="Arial"/>
        </w:rPr>
        <w:t xml:space="preserve"> provided by configuration</w:t>
      </w:r>
      <w:r w:rsidR="002A63E4">
        <w:rPr>
          <w:rFonts w:ascii="Arial" w:eastAsia="DengXian" w:hAnsi="Arial" w:cs="Arial"/>
        </w:rPr>
        <w:t xml:space="preserve"> index#17</w:t>
      </w:r>
      <w:r>
        <w:rPr>
          <w:rFonts w:ascii="Arial" w:eastAsia="DengXian" w:hAnsi="Arial" w:cs="Arial"/>
        </w:rPr>
        <w:t xml:space="preserve"> are </w:t>
      </w:r>
      <w:r w:rsidR="002A63E4">
        <w:rPr>
          <w:rFonts w:ascii="Arial" w:eastAsia="DengXian" w:hAnsi="Arial" w:cs="Arial"/>
        </w:rPr>
        <w:t>available and</w:t>
      </w:r>
      <w:r>
        <w:rPr>
          <w:rFonts w:ascii="Arial" w:eastAsia="DengXian" w:hAnsi="Arial" w:cs="Arial"/>
        </w:rPr>
        <w:t xml:space="preserve"> map</w:t>
      </w:r>
      <w:r w:rsidR="002A63E4">
        <w:rPr>
          <w:rFonts w:ascii="Arial" w:eastAsia="DengXian" w:hAnsi="Arial" w:cs="Arial"/>
        </w:rPr>
        <w:t>ping</w:t>
      </w:r>
      <w:r>
        <w:rPr>
          <w:rFonts w:ascii="Arial" w:eastAsia="DengXian" w:hAnsi="Arial" w:cs="Arial"/>
        </w:rPr>
        <w:t xml:space="preserve"> all SSB/PBCH t</w:t>
      </w:r>
      <w:r w:rsidRPr="008B3BAE">
        <w:rPr>
          <w:rFonts w:ascii="Arial" w:eastAsia="DengXian" w:hAnsi="Arial" w:cs="Arial"/>
        </w:rPr>
        <w:t>o the PRACH occasions at least once</w:t>
      </w:r>
      <w:r w:rsidR="002A63E4">
        <w:rPr>
          <w:rFonts w:ascii="Arial" w:eastAsia="DengXian" w:hAnsi="Arial" w:cs="Arial"/>
        </w:rPr>
        <w:t xml:space="preserve"> is straightforward</w:t>
      </w:r>
      <w:r>
        <w:rPr>
          <w:rFonts w:ascii="Arial" w:eastAsia="DengXian" w:hAnsi="Arial" w:cs="Arial"/>
        </w:rPr>
        <w:t xml:space="preserve">. As we mentioned above that a cell should configure sparse PRACH resources to legacy UEs for energy saving when PRACH adaptation is applied. Therefore, there should be always a chance to apply time offset to additional PRACH resources to avoid PRACH resource overlap. Applying frequency offset to PRACH resource by </w:t>
      </w:r>
      <w:r w:rsidRPr="003E4C0C">
        <w:rPr>
          <w:rFonts w:ascii="Arial" w:eastAsia="DengXian" w:hAnsi="Arial" w:cs="Arial"/>
          <w:i/>
          <w:iCs/>
        </w:rPr>
        <w:t xml:space="preserve">msg1-FrequencyStart </w:t>
      </w:r>
      <w:r w:rsidRPr="003E4C0C">
        <w:rPr>
          <w:rFonts w:ascii="Arial" w:eastAsia="DengXian" w:hAnsi="Arial" w:cs="Arial"/>
        </w:rPr>
        <w:t xml:space="preserve">in </w:t>
      </w:r>
      <w:r w:rsidRPr="00CB3D9B">
        <w:rPr>
          <w:rFonts w:ascii="Arial" w:eastAsia="DengXian" w:hAnsi="Arial" w:cs="Arial"/>
          <w:i/>
          <w:iCs/>
        </w:rPr>
        <w:t>RACH-ConfigGeneric</w:t>
      </w:r>
      <w:r w:rsidRPr="00CB3D9B">
        <w:rPr>
          <w:rFonts w:ascii="Arial" w:eastAsia="DengXian" w:hAnsi="Arial" w:cs="Arial"/>
        </w:rPr>
        <w:t xml:space="preserve"> </w:t>
      </w:r>
      <w:r w:rsidRPr="003E4C0C">
        <w:rPr>
          <w:rFonts w:ascii="Arial" w:eastAsia="DengXian" w:hAnsi="Arial" w:cs="Arial"/>
        </w:rPr>
        <w:t>i</w:t>
      </w:r>
      <w:r>
        <w:rPr>
          <w:rFonts w:ascii="Arial" w:eastAsia="DengXian" w:hAnsi="Arial" w:cs="Arial"/>
        </w:rPr>
        <w:t xml:space="preserve">s also an option to avoid overlaps between legacy and additional PRACH resource if the legacy resource is configured to a </w:t>
      </w:r>
      <w:r w:rsidR="002A63E4">
        <w:rPr>
          <w:rFonts w:ascii="Arial" w:eastAsia="DengXian" w:hAnsi="Arial" w:cs="Arial"/>
        </w:rPr>
        <w:t>certain</w:t>
      </w:r>
      <w:r>
        <w:rPr>
          <w:rFonts w:ascii="Arial" w:eastAsia="DengXian" w:hAnsi="Arial" w:cs="Arial"/>
        </w:rPr>
        <w:t xml:space="preserve"> position in frequency </w:t>
      </w:r>
      <w:r w:rsidRPr="000A3883">
        <w:rPr>
          <w:rFonts w:ascii="Arial" w:eastAsia="DengXian" w:hAnsi="Arial" w:cs="Arial"/>
        </w:rPr>
        <w:t>within the bandwidth of the UL BWP</w:t>
      </w:r>
      <w:r>
        <w:rPr>
          <w:rFonts w:ascii="Arial" w:eastAsia="DengXian" w:hAnsi="Arial" w:cs="Arial"/>
        </w:rPr>
        <w:t xml:space="preserve">. </w:t>
      </w:r>
      <w:r w:rsidR="001F1083">
        <w:rPr>
          <w:rFonts w:ascii="Arial" w:eastAsia="DengXian" w:hAnsi="Arial" w:cs="Arial"/>
        </w:rPr>
        <w:t>This also helps with condensing ROs near condensed POs.</w:t>
      </w:r>
    </w:p>
    <w:bookmarkEnd w:id="57"/>
    <w:p w14:paraId="7C8316BF" w14:textId="77777777" w:rsidR="00B911E8" w:rsidRDefault="00B911E8" w:rsidP="00B911E8">
      <w:pPr>
        <w:spacing w:beforeLines="100" w:before="240" w:afterLines="100" w:after="240"/>
        <w:jc w:val="both"/>
        <w:rPr>
          <w:rFonts w:ascii="Arial" w:eastAsia="DengXian" w:hAnsi="Arial" w:cs="Arial"/>
        </w:rPr>
      </w:pPr>
    </w:p>
    <w:p w14:paraId="4C0CA262" w14:textId="77777777" w:rsidR="00B911E8" w:rsidRDefault="00B911E8" w:rsidP="00B911E8">
      <w:pPr>
        <w:keepNext/>
        <w:spacing w:beforeLines="100" w:before="240" w:afterLines="100" w:after="240"/>
        <w:jc w:val="both"/>
      </w:pPr>
      <w:commentRangeStart w:id="58"/>
      <w:commentRangeEnd w:id="58"/>
      <w:r>
        <w:rPr>
          <w:rStyle w:val="CommentReference"/>
        </w:rPr>
        <w:commentReference w:id="58"/>
      </w:r>
      <w:r>
        <w:rPr>
          <w:rFonts w:ascii="Arial" w:eastAsia="DengXian" w:hAnsi="Arial" w:cs="Arial"/>
          <w:noProof/>
        </w:rPr>
        <w:drawing>
          <wp:inline distT="0" distB="0" distL="0" distR="0" wp14:anchorId="3866FF3B" wp14:editId="3E433C8F">
            <wp:extent cx="6211369" cy="324091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39644" cy="3255665"/>
                    </a:xfrm>
                    <a:prstGeom prst="rect">
                      <a:avLst/>
                    </a:prstGeom>
                    <a:noFill/>
                  </pic:spPr>
                </pic:pic>
              </a:graphicData>
            </a:graphic>
          </wp:inline>
        </w:drawing>
      </w:r>
    </w:p>
    <w:p w14:paraId="1BBE7354" w14:textId="62F21C01" w:rsidR="00B911E8" w:rsidRDefault="00B911E8" w:rsidP="00B911E8">
      <w:pPr>
        <w:pStyle w:val="Caption"/>
        <w:ind w:left="2127"/>
        <w:jc w:val="both"/>
      </w:pPr>
      <w:bookmarkStart w:id="59" w:name="_Ref165983367"/>
      <w:r>
        <w:t xml:space="preserve">Figure </w:t>
      </w:r>
      <w:fldSimple w:instr=" SEQ Figure \* ARABIC ">
        <w:r w:rsidR="00170133">
          <w:rPr>
            <w:noProof/>
          </w:rPr>
          <w:t>7</w:t>
        </w:r>
      </w:fldSimple>
      <w:bookmarkEnd w:id="59"/>
      <w:r>
        <w:t xml:space="preserve">: </w:t>
      </w:r>
      <w:r w:rsidRPr="000C1CA2">
        <w:t>An example of legacy and additional PRACH resource configuration</w:t>
      </w:r>
      <w:r>
        <w:t>.</w:t>
      </w:r>
    </w:p>
    <w:p w14:paraId="79D7E3E6" w14:textId="77777777" w:rsidR="00D13667" w:rsidRDefault="00D13667" w:rsidP="00D13667"/>
    <w:p w14:paraId="14FCF23E" w14:textId="7AFC1EC3" w:rsidR="00D13667" w:rsidRPr="00243D35" w:rsidRDefault="00D13667" w:rsidP="00FE61C2">
      <w:pPr>
        <w:pStyle w:val="Observation"/>
        <w:numPr>
          <w:ilvl w:val="0"/>
          <w:numId w:val="3"/>
        </w:numPr>
        <w:ind w:left="1560" w:hanging="1560"/>
        <w:rPr>
          <w:rFonts w:cs="Arial"/>
          <w:lang w:val="en-CA"/>
        </w:rPr>
      </w:pPr>
      <w:bookmarkStart w:id="60" w:name="_Toc166252125"/>
      <w:r>
        <w:rPr>
          <w:rFonts w:cs="Arial"/>
          <w:lang w:val="en-CA"/>
        </w:rPr>
        <w:t xml:space="preserve">Introducing a time-domain offset parameter (e.g. sub-frame-level or slot-level) for additional RACH resource can facilitate no time-domain overlap of the additional </w:t>
      </w:r>
      <w:r w:rsidRPr="00456034">
        <w:rPr>
          <w:rFonts w:cs="Arial"/>
          <w:lang w:val="en-CA"/>
        </w:rPr>
        <w:t>PRACH resources and PRACH resources for legacy UEs</w:t>
      </w:r>
      <w:r>
        <w:rPr>
          <w:rFonts w:cs="Arial"/>
          <w:lang w:val="en-CA"/>
        </w:rPr>
        <w:t>.</w:t>
      </w:r>
      <w:bookmarkEnd w:id="60"/>
    </w:p>
    <w:p w14:paraId="314BEBA3" w14:textId="77777777" w:rsidR="00D13667" w:rsidRPr="00FE61C2" w:rsidRDefault="00D13667" w:rsidP="00FE61C2">
      <w:pPr>
        <w:rPr>
          <w:rFonts w:eastAsia="DengXian"/>
        </w:rPr>
      </w:pPr>
    </w:p>
    <w:p w14:paraId="07CDC0C7" w14:textId="5A90DE7F" w:rsidR="00D13667" w:rsidRDefault="00B911E8" w:rsidP="00B911E8">
      <w:pPr>
        <w:pStyle w:val="Proposal"/>
        <w:numPr>
          <w:ilvl w:val="0"/>
          <w:numId w:val="4"/>
        </w:numPr>
        <w:rPr>
          <w:rFonts w:cs="Arial"/>
          <w:lang w:val="en-CA"/>
        </w:rPr>
      </w:pPr>
      <w:bookmarkStart w:id="61" w:name="_Toc166252154"/>
      <w:r>
        <w:rPr>
          <w:rFonts w:cs="Arial"/>
          <w:lang w:val="en-CA"/>
        </w:rPr>
        <w:t xml:space="preserve">For the additional PRACH resources, support higher layer signaling </w:t>
      </w:r>
      <w:r w:rsidR="002A63E4">
        <w:rPr>
          <w:rFonts w:cs="Arial"/>
          <w:lang w:val="en-CA"/>
        </w:rPr>
        <w:t>of</w:t>
      </w:r>
      <w:r>
        <w:rPr>
          <w:rFonts w:cs="Arial"/>
          <w:lang w:val="en-CA"/>
        </w:rPr>
        <w:t xml:space="preserve"> </w:t>
      </w:r>
      <w:r w:rsidR="00D13667">
        <w:rPr>
          <w:rFonts w:cs="Arial"/>
          <w:lang w:val="en-CA"/>
        </w:rPr>
        <w:t>at least the following:</w:t>
      </w:r>
      <w:bookmarkEnd w:id="61"/>
    </w:p>
    <w:p w14:paraId="44669BDE" w14:textId="3AC831F3" w:rsidR="00D13667" w:rsidRDefault="00D13667" w:rsidP="00D13667">
      <w:pPr>
        <w:pStyle w:val="Proposal"/>
        <w:numPr>
          <w:ilvl w:val="1"/>
          <w:numId w:val="4"/>
        </w:numPr>
        <w:rPr>
          <w:rFonts w:cs="Arial"/>
          <w:lang w:val="en-CA"/>
        </w:rPr>
      </w:pPr>
      <w:bookmarkStart w:id="62" w:name="_Toc166252155"/>
      <w:r>
        <w:rPr>
          <w:rFonts w:cs="Arial"/>
          <w:lang w:val="en-CA"/>
        </w:rPr>
        <w:t xml:space="preserve">RACH configuration </w:t>
      </w:r>
      <w:r w:rsidR="001B6ECF">
        <w:rPr>
          <w:rFonts w:cs="Arial"/>
          <w:lang w:val="en-CA"/>
        </w:rPr>
        <w:t>and</w:t>
      </w:r>
      <w:bookmarkEnd w:id="62"/>
      <w:r>
        <w:rPr>
          <w:rFonts w:cs="Arial"/>
          <w:lang w:val="en-CA"/>
        </w:rPr>
        <w:t xml:space="preserve"> </w:t>
      </w:r>
    </w:p>
    <w:p w14:paraId="71F8EDC4" w14:textId="27E7A774" w:rsidR="00B911E8" w:rsidRPr="00243D35" w:rsidRDefault="00B911E8" w:rsidP="00FE61C2">
      <w:pPr>
        <w:pStyle w:val="Proposal"/>
        <w:numPr>
          <w:ilvl w:val="1"/>
          <w:numId w:val="4"/>
        </w:numPr>
        <w:rPr>
          <w:rFonts w:cs="Arial"/>
          <w:lang w:val="en-CA"/>
        </w:rPr>
      </w:pPr>
      <w:bookmarkStart w:id="63" w:name="_Toc166252156"/>
      <w:r>
        <w:rPr>
          <w:rFonts w:cs="Arial"/>
          <w:lang w:val="en-CA"/>
        </w:rPr>
        <w:t>a</w:t>
      </w:r>
      <w:r w:rsidR="002A63E4">
        <w:rPr>
          <w:rFonts w:cs="Arial"/>
          <w:lang w:val="en-CA"/>
        </w:rPr>
        <w:t xml:space="preserve"> time-domain </w:t>
      </w:r>
      <w:r>
        <w:rPr>
          <w:rFonts w:cs="Arial"/>
          <w:lang w:val="en-CA"/>
        </w:rPr>
        <w:t>offset</w:t>
      </w:r>
      <w:r w:rsidR="002A63E4">
        <w:rPr>
          <w:rFonts w:cs="Arial"/>
          <w:lang w:val="en-CA"/>
        </w:rPr>
        <w:t xml:space="preserve"> parameter</w:t>
      </w:r>
      <w:r>
        <w:rPr>
          <w:rFonts w:cs="Arial"/>
          <w:lang w:val="en-CA"/>
        </w:rPr>
        <w:t xml:space="preserve"> </w:t>
      </w:r>
      <w:r w:rsidR="002A63E4">
        <w:rPr>
          <w:rFonts w:cs="Arial"/>
          <w:lang w:val="en-CA"/>
        </w:rPr>
        <w:t xml:space="preserve">(e.g. sub-frame-level or slot-level) </w:t>
      </w:r>
      <w:r w:rsidR="00BA12B0">
        <w:rPr>
          <w:rFonts w:cs="Arial"/>
          <w:lang w:val="en-CA"/>
        </w:rPr>
        <w:t xml:space="preserve">for </w:t>
      </w:r>
      <w:r w:rsidR="00C864C0">
        <w:rPr>
          <w:rFonts w:cs="Arial"/>
          <w:lang w:val="en-CA"/>
        </w:rPr>
        <w:t>identify</w:t>
      </w:r>
      <w:r w:rsidR="002631D1">
        <w:rPr>
          <w:rFonts w:cs="Arial"/>
          <w:lang w:val="en-CA"/>
        </w:rPr>
        <w:t>ing</w:t>
      </w:r>
      <w:r w:rsidR="00C864C0">
        <w:rPr>
          <w:rFonts w:cs="Arial"/>
          <w:lang w:val="en-CA"/>
        </w:rPr>
        <w:t xml:space="preserve"> the</w:t>
      </w:r>
      <w:r w:rsidR="00BA12B0">
        <w:rPr>
          <w:rFonts w:cs="Arial"/>
          <w:lang w:val="en-CA"/>
        </w:rPr>
        <w:t xml:space="preserve"> RACH resources</w:t>
      </w:r>
      <w:bookmarkEnd w:id="63"/>
    </w:p>
    <w:p w14:paraId="72E7B92D" w14:textId="73B1C046" w:rsidR="00A6063F" w:rsidRPr="00FE61C2" w:rsidRDefault="00A6063F" w:rsidP="00A6063F">
      <w:pPr>
        <w:pStyle w:val="Proposal"/>
        <w:numPr>
          <w:ilvl w:val="0"/>
          <w:numId w:val="4"/>
        </w:numPr>
        <w:rPr>
          <w:rFonts w:cs="Arial"/>
          <w:lang w:val="en-CA"/>
        </w:rPr>
      </w:pPr>
      <w:bookmarkStart w:id="64" w:name="_Toc166252157"/>
      <w:r w:rsidRPr="00FE61C2">
        <w:rPr>
          <w:rFonts w:cs="Arial"/>
          <w:lang w:val="en-CA"/>
        </w:rPr>
        <w:t>The configuration of additional PRACH resources</w:t>
      </w:r>
      <w:r w:rsidR="00ED42D4">
        <w:rPr>
          <w:rFonts w:cs="Arial"/>
          <w:lang w:val="en-CA"/>
        </w:rPr>
        <w:t xml:space="preserve"> </w:t>
      </w:r>
      <w:r w:rsidRPr="00FE61C2">
        <w:rPr>
          <w:rFonts w:cs="Arial"/>
          <w:lang w:val="en-CA"/>
        </w:rPr>
        <w:t>should also facilitate condensing PRACH resources in time domain near the condensed POs.</w:t>
      </w:r>
      <w:bookmarkEnd w:id="64"/>
      <w:r w:rsidRPr="00FE61C2">
        <w:rPr>
          <w:rFonts w:cs="Arial"/>
          <w:lang w:val="en-CA"/>
        </w:rPr>
        <w:t xml:space="preserve"> </w:t>
      </w:r>
    </w:p>
    <w:p w14:paraId="65F04B11" w14:textId="461B444E" w:rsidR="00B911E8" w:rsidRPr="00B9251F" w:rsidRDefault="00B9251F" w:rsidP="00B9251F">
      <w:pPr>
        <w:spacing w:beforeLines="100" w:before="240" w:afterLines="100" w:after="240"/>
        <w:jc w:val="both"/>
        <w:rPr>
          <w:rFonts w:ascii="Arial" w:eastAsia="DengXian" w:hAnsi="Arial" w:cs="Arial"/>
          <w:lang w:val="en-GB"/>
        </w:rPr>
      </w:pPr>
      <w:r w:rsidRPr="00B9251F">
        <w:rPr>
          <w:rFonts w:ascii="Arial" w:eastAsia="DengXian" w:hAnsi="Arial" w:cs="Arial"/>
          <w:lang w:val="en-GB"/>
        </w:rPr>
        <w:t>Below agreement was made in RAN1#116bis meeting</w:t>
      </w:r>
      <w:r>
        <w:rPr>
          <w:rFonts w:ascii="Arial" w:eastAsia="DengXian" w:hAnsi="Arial" w:cs="Arial"/>
          <w:lang w:val="en-GB"/>
        </w:rPr>
        <w:t xml:space="preserve"> regarding SSB-RO mapping for the additional PRACH resources</w:t>
      </w:r>
      <w:r w:rsidRPr="00B9251F">
        <w:rPr>
          <w:rFonts w:ascii="Arial" w:eastAsia="DengXian" w:hAnsi="Arial" w:cs="Arial"/>
          <w:lang w:val="en-GB"/>
        </w:rPr>
        <w:t>.</w:t>
      </w:r>
    </w:p>
    <w:p w14:paraId="49426D43" w14:textId="77777777" w:rsidR="007B6873" w:rsidRDefault="007B6873" w:rsidP="007B6873">
      <w:pPr>
        <w:rPr>
          <w:rFonts w:ascii="Times" w:eastAsia="Batang" w:hAnsi="Times"/>
          <w:b/>
          <w:bCs/>
          <w:highlight w:val="green"/>
          <w:lang w:eastAsia="x-none"/>
        </w:rPr>
      </w:pPr>
      <w:r>
        <w:rPr>
          <w:rFonts w:ascii="Times" w:eastAsia="Batang" w:hAnsi="Times"/>
          <w:b/>
          <w:bCs/>
          <w:highlight w:val="green"/>
          <w:lang w:eastAsia="x-none"/>
        </w:rPr>
        <w:t>Agreement</w:t>
      </w:r>
    </w:p>
    <w:p w14:paraId="146685CC" w14:textId="77777777" w:rsidR="007B6873" w:rsidRDefault="007B6873" w:rsidP="007B6873">
      <w:pPr>
        <w:rPr>
          <w:rFonts w:eastAsia="Batang"/>
          <w:lang w:eastAsia="x-none"/>
        </w:rPr>
      </w:pPr>
      <w:r>
        <w:rPr>
          <w:rFonts w:eastAsia="Batang"/>
          <w:lang w:eastAsia="x-none"/>
        </w:rPr>
        <w:t xml:space="preserve">For adaptation of PRACH in time-domain, support the following: </w:t>
      </w:r>
    </w:p>
    <w:p w14:paraId="3C27B083" w14:textId="77777777" w:rsidR="007B6873" w:rsidRDefault="007B6873" w:rsidP="007B6873">
      <w:pPr>
        <w:numPr>
          <w:ilvl w:val="0"/>
          <w:numId w:val="17"/>
        </w:numPr>
        <w:autoSpaceDN w:val="0"/>
        <w:spacing w:line="256" w:lineRule="auto"/>
        <w:rPr>
          <w:rFonts w:eastAsia="Batang"/>
          <w:lang w:eastAsia="x-none"/>
        </w:rPr>
      </w:pPr>
      <w:r>
        <w:rPr>
          <w:rFonts w:eastAsia="Batang"/>
          <w:lang w:eastAsia="x-none"/>
        </w:rPr>
        <w:t>SSB-RO mapping for the additional PRACH resources is separate from the SSB-RO mapping of the PRACH resources for legacy UEs (if any)</w:t>
      </w:r>
    </w:p>
    <w:p w14:paraId="59AB5D6B" w14:textId="77777777" w:rsidR="007B6873" w:rsidRDefault="007B6873" w:rsidP="007B6873">
      <w:pPr>
        <w:numPr>
          <w:ilvl w:val="1"/>
          <w:numId w:val="14"/>
        </w:numPr>
        <w:autoSpaceDN w:val="0"/>
        <w:spacing w:line="256" w:lineRule="auto"/>
        <w:rPr>
          <w:rFonts w:eastAsia="Batang"/>
          <w:lang w:eastAsia="x-none"/>
        </w:rPr>
      </w:pPr>
      <w:r>
        <w:rPr>
          <w:rFonts w:eastAsia="Batang"/>
          <w:lang w:eastAsia="x-none"/>
        </w:rPr>
        <w:t>FFS: whether/how to handle SSB-RO mapping if the additional PRACH resources overlap in both time and frequency with the PRACH resources for legacy UEs</w:t>
      </w:r>
    </w:p>
    <w:p w14:paraId="1E2BA4D2" w14:textId="77777777" w:rsidR="007B6873" w:rsidRDefault="007B6873" w:rsidP="007B6873">
      <w:pPr>
        <w:numPr>
          <w:ilvl w:val="1"/>
          <w:numId w:val="14"/>
        </w:numPr>
        <w:autoSpaceDN w:val="0"/>
        <w:spacing w:line="256" w:lineRule="auto"/>
        <w:rPr>
          <w:rFonts w:eastAsia="Batang"/>
          <w:lang w:eastAsia="x-none"/>
        </w:rPr>
      </w:pPr>
      <w:r>
        <w:rPr>
          <w:rFonts w:eastAsia="Batang"/>
          <w:lang w:eastAsia="x-none"/>
        </w:rPr>
        <w:t>Note: SSB-RO mapping of the PRACH resources for legacy UEs is not impacted if Rel-19 UE uses these PRACH resources</w:t>
      </w:r>
    </w:p>
    <w:p w14:paraId="0B5EC2B1" w14:textId="77777777" w:rsidR="007B6873" w:rsidRDefault="007B6873" w:rsidP="007B6873">
      <w:pPr>
        <w:numPr>
          <w:ilvl w:val="1"/>
          <w:numId w:val="14"/>
        </w:numPr>
        <w:autoSpaceDN w:val="0"/>
        <w:spacing w:line="256" w:lineRule="auto"/>
        <w:rPr>
          <w:rFonts w:eastAsia="Batang"/>
          <w:lang w:eastAsia="x-none"/>
        </w:rPr>
      </w:pPr>
      <w:r>
        <w:rPr>
          <w:rFonts w:eastAsia="Batang"/>
          <w:lang w:eastAsia="x-none"/>
        </w:rPr>
        <w:t xml:space="preserve">FFS: SSB-RO mapping for the additional PRACH resources </w:t>
      </w:r>
    </w:p>
    <w:p w14:paraId="4D5FAED5" w14:textId="77777777" w:rsidR="007B6873" w:rsidRDefault="007B6873" w:rsidP="007B6873">
      <w:pPr>
        <w:pStyle w:val="Proposal"/>
        <w:numPr>
          <w:ilvl w:val="0"/>
          <w:numId w:val="0"/>
        </w:numPr>
        <w:ind w:left="1304" w:hanging="1304"/>
        <w:rPr>
          <w:rFonts w:cs="Arial"/>
          <w:lang w:val="en-CA"/>
        </w:rPr>
      </w:pPr>
    </w:p>
    <w:p w14:paraId="6AC2F37F" w14:textId="481CCA60" w:rsidR="007B6873" w:rsidRDefault="007B6873" w:rsidP="007B6873">
      <w:pPr>
        <w:spacing w:beforeLines="100" w:before="240" w:afterLines="100" w:after="240"/>
        <w:jc w:val="both"/>
        <w:rPr>
          <w:rFonts w:ascii="Arial" w:eastAsia="DengXian" w:hAnsi="Arial" w:cs="Arial"/>
          <w:lang w:val="en-GB"/>
        </w:rPr>
      </w:pPr>
      <w:r>
        <w:rPr>
          <w:rFonts w:ascii="Arial" w:eastAsia="DengXian" w:hAnsi="Arial" w:cs="Arial"/>
          <w:lang w:val="en-GB"/>
        </w:rPr>
        <w:t xml:space="preserve">As mentioned </w:t>
      </w:r>
      <w:r w:rsidR="00B9251F">
        <w:rPr>
          <w:rFonts w:ascii="Arial" w:eastAsia="DengXian" w:hAnsi="Arial" w:cs="Arial"/>
          <w:lang w:val="en-GB"/>
        </w:rPr>
        <w:t>earlier</w:t>
      </w:r>
      <w:r>
        <w:rPr>
          <w:rFonts w:ascii="Arial" w:eastAsia="DengXian" w:hAnsi="Arial" w:cs="Arial"/>
          <w:lang w:val="en-GB"/>
        </w:rPr>
        <w:t>, by applying time/frequency offset, resource overlap between legacy and additional PRACH ca be avoided and the mapping index issue is solved. Just in case that a denser configuration of legacy PRACH is applied, overlaps between legacy and additional PRACH resource may be inevitable at some symbol/slot/fram</w:t>
      </w:r>
      <w:r w:rsidR="00B9251F">
        <w:rPr>
          <w:rFonts w:ascii="Arial" w:eastAsia="DengXian" w:hAnsi="Arial" w:cs="Arial"/>
          <w:lang w:val="en-GB"/>
        </w:rPr>
        <w:t>e and these can cause issues in SSB-RO mapping also</w:t>
      </w:r>
      <w:r>
        <w:rPr>
          <w:rFonts w:ascii="Arial" w:eastAsia="DengXian" w:hAnsi="Arial" w:cs="Arial"/>
          <w:lang w:val="en-GB"/>
        </w:rPr>
        <w:t xml:space="preserve">. </w:t>
      </w:r>
      <w:r w:rsidR="00B9251F">
        <w:rPr>
          <w:rFonts w:ascii="Arial" w:eastAsia="DengXian" w:hAnsi="Arial" w:cs="Arial"/>
          <w:lang w:val="en-GB"/>
        </w:rPr>
        <w:t xml:space="preserve">For such cases some mechanism for resource invalidation/unavailability/priority needs to be considered, but we think such aspects can be discussed later. </w:t>
      </w:r>
    </w:p>
    <w:p w14:paraId="44D7891B" w14:textId="220FA5BF" w:rsidR="007B6873" w:rsidRPr="00233A21" w:rsidRDefault="007B6873" w:rsidP="00FE61C2">
      <w:pPr>
        <w:pStyle w:val="Observation"/>
        <w:numPr>
          <w:ilvl w:val="0"/>
          <w:numId w:val="3"/>
        </w:numPr>
        <w:ind w:left="1560" w:hanging="1560"/>
        <w:rPr>
          <w:rFonts w:cs="Arial"/>
          <w:lang w:val="en-CA"/>
        </w:rPr>
      </w:pPr>
      <w:bookmarkStart w:id="65" w:name="_Toc166252126"/>
      <w:r w:rsidRPr="00233A21">
        <w:rPr>
          <w:rFonts w:cs="Arial"/>
          <w:lang w:val="en-CA"/>
        </w:rPr>
        <w:t>For the additional PRACH resources, if the additional PRACH resource still overlap with a legacy PRACH resource in time and frequency domain</w:t>
      </w:r>
      <w:bookmarkStart w:id="66" w:name="_Toc165984262"/>
      <w:r w:rsidRPr="00233A21">
        <w:rPr>
          <w:rFonts w:cs="Arial"/>
          <w:lang w:val="en-CA"/>
        </w:rPr>
        <w:t xml:space="preserve">, </w:t>
      </w:r>
      <w:r w:rsidR="00233A21" w:rsidRPr="00FE61C2">
        <w:rPr>
          <w:rFonts w:cs="Arial"/>
          <w:lang w:val="en-CA"/>
        </w:rPr>
        <w:t>resource invalidation/unavailability/priority mechanisms need to be considered</w:t>
      </w:r>
      <w:r w:rsidRPr="00233A21">
        <w:rPr>
          <w:rFonts w:cs="Arial"/>
          <w:lang w:val="en-CA"/>
        </w:rPr>
        <w:t>.</w:t>
      </w:r>
      <w:bookmarkEnd w:id="66"/>
      <w:bookmarkEnd w:id="65"/>
    </w:p>
    <w:p w14:paraId="71EB50C2" w14:textId="6F6E63C0" w:rsidR="0004696D" w:rsidRDefault="0004696D" w:rsidP="0004696D">
      <w:pPr>
        <w:spacing w:beforeLines="100" w:before="240" w:afterLines="100" w:after="240"/>
        <w:jc w:val="both"/>
        <w:rPr>
          <w:rFonts w:ascii="Arial" w:eastAsia="DengXian" w:hAnsi="Arial" w:cs="Arial"/>
          <w:lang w:val="en-GB"/>
        </w:rPr>
      </w:pPr>
      <w:r>
        <w:rPr>
          <w:rFonts w:ascii="Arial" w:eastAsia="DengXian" w:hAnsi="Arial" w:cs="Arial"/>
          <w:lang w:val="en-GB"/>
        </w:rPr>
        <w:t xml:space="preserve">For </w:t>
      </w:r>
      <w:r w:rsidRPr="00C21439">
        <w:rPr>
          <w:rFonts w:ascii="Arial" w:eastAsia="DengXian" w:hAnsi="Arial" w:cs="Arial"/>
          <w:lang w:val="en-GB"/>
        </w:rPr>
        <w:t>SSB-RO mapping of additional PRACH resources</w:t>
      </w:r>
      <w:r>
        <w:rPr>
          <w:rFonts w:ascii="Arial" w:eastAsia="DengXian" w:hAnsi="Arial" w:cs="Arial"/>
          <w:lang w:val="en-GB"/>
        </w:rPr>
        <w:t>, it can be configured based on the</w:t>
      </w:r>
      <w:r w:rsidR="00B9251F">
        <w:rPr>
          <w:rFonts w:ascii="Arial" w:eastAsia="DengXian" w:hAnsi="Arial" w:cs="Arial"/>
          <w:lang w:val="en-GB"/>
        </w:rPr>
        <w:t xml:space="preserve"> configured PRACH </w:t>
      </w:r>
      <w:r>
        <w:rPr>
          <w:rFonts w:ascii="Arial" w:eastAsia="DengXian" w:hAnsi="Arial" w:cs="Arial"/>
          <w:lang w:val="en-GB"/>
        </w:rPr>
        <w:t>resource</w:t>
      </w:r>
      <w:r w:rsidR="00B9251F">
        <w:rPr>
          <w:rFonts w:ascii="Arial" w:eastAsia="DengXian" w:hAnsi="Arial" w:cs="Arial"/>
          <w:lang w:val="en-GB"/>
        </w:rPr>
        <w:t>s</w:t>
      </w:r>
      <w:r>
        <w:rPr>
          <w:rFonts w:ascii="Arial" w:eastAsia="DengXian" w:hAnsi="Arial" w:cs="Arial"/>
          <w:lang w:val="en-GB"/>
        </w:rPr>
        <w:t xml:space="preserve"> and there</w:t>
      </w:r>
      <w:r w:rsidRPr="00A47D5A">
        <w:rPr>
          <w:rFonts w:ascii="Arial" w:eastAsia="DengXian" w:hAnsi="Arial" w:cs="Arial"/>
          <w:lang w:val="en-GB"/>
        </w:rPr>
        <w:t xml:space="preserve"> is no need to restrict the SSB-RO mapping of additional PRACH resources to be the </w:t>
      </w:r>
      <w:r w:rsidR="00B9251F">
        <w:rPr>
          <w:rFonts w:ascii="Arial" w:eastAsia="DengXian" w:hAnsi="Arial" w:cs="Arial"/>
          <w:lang w:val="en-GB"/>
        </w:rPr>
        <w:t xml:space="preserve">exact </w:t>
      </w:r>
      <w:r w:rsidRPr="00A47D5A">
        <w:rPr>
          <w:rFonts w:ascii="Arial" w:eastAsia="DengXian" w:hAnsi="Arial" w:cs="Arial"/>
          <w:lang w:val="en-GB"/>
        </w:rPr>
        <w:t>same as legacy configurations</w:t>
      </w:r>
      <w:r>
        <w:rPr>
          <w:rFonts w:ascii="Arial" w:eastAsia="DengXian" w:hAnsi="Arial" w:cs="Arial"/>
          <w:lang w:val="en-GB"/>
        </w:rPr>
        <w:t xml:space="preserve">. For example, the parameter for </w:t>
      </w:r>
      <w:r w:rsidRPr="006330A3">
        <w:rPr>
          <w:rFonts w:ascii="Arial" w:eastAsia="DengXian" w:hAnsi="Arial" w:cs="Arial"/>
          <w:i/>
          <w:iCs/>
          <w:lang w:val="en-GB"/>
        </w:rPr>
        <w:t>ssb-perRACH-OccasionAndCB-PreamblesPerSSB</w:t>
      </w:r>
      <w:r>
        <w:rPr>
          <w:rFonts w:ascii="Arial" w:eastAsia="DengXian" w:hAnsi="Arial" w:cs="Arial"/>
          <w:i/>
          <w:iCs/>
          <w:lang w:val="en-GB"/>
        </w:rPr>
        <w:t xml:space="preserve"> </w:t>
      </w:r>
      <w:r>
        <w:rPr>
          <w:rFonts w:ascii="Arial" w:eastAsia="DengXian" w:hAnsi="Arial" w:cs="Arial"/>
          <w:lang w:val="en-GB"/>
        </w:rPr>
        <w:t>for additional PRACH resources may be different than that of the legacy PRACH resources.</w:t>
      </w:r>
      <w:r w:rsidR="00577BC2">
        <w:rPr>
          <w:rFonts w:ascii="Arial" w:eastAsia="DengXian" w:hAnsi="Arial" w:cs="Arial"/>
          <w:lang w:val="en-GB"/>
        </w:rPr>
        <w:t xml:space="preserve"> However, it is </w:t>
      </w:r>
      <w:r w:rsidR="00B939BE">
        <w:rPr>
          <w:rFonts w:ascii="Arial" w:eastAsia="DengXian" w:hAnsi="Arial" w:cs="Arial"/>
          <w:lang w:val="en-GB"/>
        </w:rPr>
        <w:t xml:space="preserve">simplest that </w:t>
      </w:r>
      <w:r w:rsidR="00577BC2">
        <w:rPr>
          <w:rFonts w:ascii="Arial" w:eastAsia="DengXian" w:hAnsi="Arial" w:cs="Arial"/>
          <w:lang w:val="en-GB"/>
        </w:rPr>
        <w:t>the additional PRACH resources are mapped to all the transmitted SSBs of the SSB burst</w:t>
      </w:r>
      <w:r w:rsidR="00B939BE">
        <w:rPr>
          <w:rFonts w:ascii="Arial" w:eastAsia="DengXian" w:hAnsi="Arial" w:cs="Arial"/>
          <w:lang w:val="en-GB"/>
        </w:rPr>
        <w:t xml:space="preserve"> at least for the time-domain adaptation</w:t>
      </w:r>
      <w:r w:rsidR="00577BC2">
        <w:rPr>
          <w:rFonts w:ascii="Arial" w:eastAsia="DengXian" w:hAnsi="Arial" w:cs="Arial"/>
          <w:lang w:val="en-GB"/>
        </w:rPr>
        <w:t xml:space="preserve">. </w:t>
      </w:r>
    </w:p>
    <w:p w14:paraId="760F6886" w14:textId="06B0EB3F" w:rsidR="007B6873" w:rsidRPr="000E77BF" w:rsidRDefault="007B6873" w:rsidP="007B6873">
      <w:pPr>
        <w:pStyle w:val="Proposal"/>
        <w:numPr>
          <w:ilvl w:val="0"/>
          <w:numId w:val="4"/>
        </w:numPr>
        <w:rPr>
          <w:rFonts w:cs="Arial"/>
          <w:lang w:val="en-CA"/>
        </w:rPr>
      </w:pPr>
      <w:bookmarkStart w:id="67" w:name="_Toc166252158"/>
      <w:r>
        <w:rPr>
          <w:rFonts w:cs="Arial"/>
          <w:lang w:val="en-CA"/>
        </w:rPr>
        <w:t xml:space="preserve">Support at least the case where the SSB-RO mapping mechanism for additional </w:t>
      </w:r>
      <w:r w:rsidRPr="00456034">
        <w:rPr>
          <w:rFonts w:cs="Arial"/>
          <w:lang w:val="en-CA"/>
        </w:rPr>
        <w:t xml:space="preserve">PRACH resources </w:t>
      </w:r>
      <w:r>
        <w:rPr>
          <w:rFonts w:cs="Arial"/>
          <w:lang w:val="en-CA"/>
        </w:rPr>
        <w:t xml:space="preserve">follows the legacy SSB-RO mapping </w:t>
      </w:r>
      <w:r w:rsidR="00233A21">
        <w:rPr>
          <w:rFonts w:cs="Arial"/>
          <w:lang w:val="en-CA"/>
        </w:rPr>
        <w:t>procedure</w:t>
      </w:r>
      <w:r>
        <w:rPr>
          <w:rFonts w:cs="Arial"/>
          <w:lang w:val="en-CA"/>
        </w:rPr>
        <w:t>, i.e.</w:t>
      </w:r>
      <w:r w:rsidR="00DD7B44">
        <w:rPr>
          <w:rFonts w:cs="Arial"/>
          <w:lang w:val="en-CA"/>
        </w:rPr>
        <w:t>,</w:t>
      </w:r>
      <w:r>
        <w:rPr>
          <w:rFonts w:cs="Arial"/>
          <w:lang w:val="en-CA"/>
        </w:rPr>
        <w:t xml:space="preserve"> the additional PRACH resources are mapped to all the transmitted SSBs of </w:t>
      </w:r>
      <w:r w:rsidR="00577BC2">
        <w:rPr>
          <w:rFonts w:cs="Arial"/>
          <w:lang w:val="en-CA"/>
        </w:rPr>
        <w:t>the</w:t>
      </w:r>
      <w:r>
        <w:rPr>
          <w:rFonts w:cs="Arial"/>
          <w:lang w:val="en-CA"/>
        </w:rPr>
        <w:t xml:space="preserve"> SSB burst</w:t>
      </w:r>
      <w:r>
        <w:rPr>
          <w:rFonts w:cs="Arial"/>
        </w:rPr>
        <w:t>.</w:t>
      </w:r>
      <w:bookmarkEnd w:id="67"/>
    </w:p>
    <w:p w14:paraId="03791DCF" w14:textId="77777777" w:rsidR="007B6873" w:rsidRDefault="007B6873" w:rsidP="00FE61C2">
      <w:pPr>
        <w:pStyle w:val="Proposal"/>
        <w:numPr>
          <w:ilvl w:val="0"/>
          <w:numId w:val="0"/>
        </w:numPr>
        <w:ind w:left="1304" w:hanging="1304"/>
        <w:rPr>
          <w:rFonts w:cs="Arial"/>
          <w:lang w:val="en-CA"/>
        </w:rPr>
      </w:pPr>
    </w:p>
    <w:p w14:paraId="51F3601A" w14:textId="77777777" w:rsidR="0059677F" w:rsidRPr="00C31945" w:rsidRDefault="0059677F" w:rsidP="0059677F">
      <w:pPr>
        <w:pStyle w:val="Heading3"/>
        <w:rPr>
          <w:rFonts w:ascii="Arial" w:hAnsi="Arial" w:cs="Arial"/>
          <w:color w:val="auto"/>
          <w:lang w:val="en-GB"/>
        </w:rPr>
      </w:pPr>
      <w:r>
        <w:rPr>
          <w:rFonts w:ascii="Arial" w:eastAsia="DengXian" w:hAnsi="Arial" w:cs="Arial"/>
          <w:lang w:val="en-GB"/>
        </w:rPr>
        <w:t>Study of a</w:t>
      </w:r>
      <w:r w:rsidRPr="00C31945">
        <w:rPr>
          <w:rFonts w:ascii="Arial" w:hAnsi="Arial" w:cs="Arial"/>
          <w:color w:val="auto"/>
          <w:lang w:val="en-GB"/>
        </w:rPr>
        <w:t>daptation of PRACH in spatial domain</w:t>
      </w:r>
    </w:p>
    <w:p w14:paraId="00BAA25C" w14:textId="77777777" w:rsidR="0059677F" w:rsidRPr="00C31945" w:rsidRDefault="0059677F" w:rsidP="0059677F">
      <w:pPr>
        <w:rPr>
          <w:lang w:val="en-GB"/>
        </w:rPr>
      </w:pPr>
    </w:p>
    <w:p w14:paraId="12F35FE4" w14:textId="42196A53" w:rsidR="0059677F" w:rsidRDefault="0059677F" w:rsidP="0059677F">
      <w:pPr>
        <w:jc w:val="both"/>
        <w:rPr>
          <w:rFonts w:ascii="Arial" w:hAnsi="Arial" w:cs="Arial"/>
          <w:lang w:val="en-GB"/>
        </w:rPr>
      </w:pPr>
      <w:r w:rsidRPr="00C31945">
        <w:rPr>
          <w:rFonts w:ascii="Arial" w:hAnsi="Arial" w:cs="Arial"/>
          <w:lang w:val="en-GB"/>
        </w:rPr>
        <w:t>In current specification, PRACH resources are uniformly distributed in the spatial domain</w:t>
      </w:r>
      <w:r>
        <w:rPr>
          <w:rFonts w:ascii="Arial" w:hAnsi="Arial" w:cs="Arial"/>
          <w:lang w:val="en-GB"/>
        </w:rPr>
        <w:t xml:space="preserve"> (i.e., per SSB)</w:t>
      </w:r>
      <w:r w:rsidRPr="00C31945">
        <w:rPr>
          <w:rFonts w:ascii="Arial" w:hAnsi="Arial" w:cs="Arial"/>
          <w:lang w:val="en-GB"/>
        </w:rPr>
        <w:t xml:space="preserve">, as shown in Figure </w:t>
      </w:r>
      <w:r w:rsidR="00DD7B44">
        <w:rPr>
          <w:rFonts w:ascii="Arial" w:hAnsi="Arial" w:cs="Arial"/>
          <w:lang w:val="en-GB"/>
        </w:rPr>
        <w:t>8</w:t>
      </w:r>
      <w:r>
        <w:rPr>
          <w:rFonts w:ascii="Arial" w:hAnsi="Arial" w:cs="Arial"/>
          <w:lang w:val="en-GB"/>
        </w:rPr>
        <w:t xml:space="preserve"> (1</w:t>
      </w:r>
      <w:r w:rsidRPr="004B3167">
        <w:rPr>
          <w:rFonts w:ascii="Arial" w:hAnsi="Arial" w:cs="Arial"/>
          <w:vertAlign w:val="superscript"/>
          <w:lang w:val="en-GB"/>
        </w:rPr>
        <w:t>st</w:t>
      </w:r>
      <w:r>
        <w:rPr>
          <w:rFonts w:ascii="Arial" w:hAnsi="Arial" w:cs="Arial"/>
          <w:lang w:val="en-GB"/>
        </w:rPr>
        <w:t xml:space="preserve"> PRACH configuration with SSBs 0,1,2,3 mapping to ROs)</w:t>
      </w:r>
      <w:r w:rsidRPr="00C31945">
        <w:rPr>
          <w:rFonts w:ascii="Arial" w:hAnsi="Arial" w:cs="Arial"/>
          <w:lang w:val="en-GB"/>
        </w:rPr>
        <w:t xml:space="preserve">. However, there may be significant differences in </w:t>
      </w:r>
      <w:r>
        <w:rPr>
          <w:rFonts w:ascii="Arial" w:hAnsi="Arial" w:cs="Arial"/>
          <w:lang w:val="en-GB"/>
        </w:rPr>
        <w:t xml:space="preserve">the amount of served UEs </w:t>
      </w:r>
      <w:r w:rsidRPr="00C31945">
        <w:rPr>
          <w:rFonts w:ascii="Arial" w:hAnsi="Arial" w:cs="Arial"/>
          <w:lang w:val="en-GB"/>
        </w:rPr>
        <w:t>across different SSB</w:t>
      </w:r>
      <w:r>
        <w:rPr>
          <w:rFonts w:ascii="Arial" w:hAnsi="Arial" w:cs="Arial"/>
          <w:lang w:val="en-GB"/>
        </w:rPr>
        <w:t xml:space="preserve">s (e.g., over time, etc). This can not only be due to user location, but it can also be dependent on deployment. In general, this can lead to </w:t>
      </w:r>
      <w:r w:rsidRPr="00C31945">
        <w:rPr>
          <w:rFonts w:ascii="Arial" w:hAnsi="Arial" w:cs="Arial"/>
          <w:lang w:val="en-GB"/>
        </w:rPr>
        <w:t>increased RA failure rates in areas</w:t>
      </w:r>
      <w:r>
        <w:rPr>
          <w:rFonts w:ascii="Arial" w:hAnsi="Arial" w:cs="Arial"/>
          <w:lang w:val="en-GB"/>
        </w:rPr>
        <w:t>/beams</w:t>
      </w:r>
      <w:r w:rsidRPr="00C31945">
        <w:rPr>
          <w:rFonts w:ascii="Arial" w:hAnsi="Arial" w:cs="Arial"/>
          <w:lang w:val="en-GB"/>
        </w:rPr>
        <w:t xml:space="preserve"> with high UE density </w:t>
      </w:r>
      <w:r>
        <w:rPr>
          <w:rFonts w:ascii="Arial" w:hAnsi="Arial" w:cs="Arial"/>
          <w:lang w:val="en-GB"/>
        </w:rPr>
        <w:t xml:space="preserve">(e.g., if many users try to access simultaneously) </w:t>
      </w:r>
      <w:r w:rsidRPr="00C31945">
        <w:rPr>
          <w:rFonts w:ascii="Arial" w:hAnsi="Arial" w:cs="Arial"/>
          <w:lang w:val="en-GB"/>
        </w:rPr>
        <w:t xml:space="preserve">and waste of </w:t>
      </w:r>
      <w:r>
        <w:rPr>
          <w:rFonts w:ascii="Arial" w:hAnsi="Arial" w:cs="Arial"/>
          <w:lang w:val="en-GB"/>
        </w:rPr>
        <w:t>gNB processing</w:t>
      </w:r>
      <w:r w:rsidRPr="00C31945">
        <w:rPr>
          <w:rFonts w:ascii="Arial" w:hAnsi="Arial" w:cs="Arial"/>
          <w:lang w:val="en-GB"/>
        </w:rPr>
        <w:t xml:space="preserve"> in areas</w:t>
      </w:r>
      <w:r>
        <w:rPr>
          <w:rFonts w:ascii="Arial" w:hAnsi="Arial" w:cs="Arial"/>
          <w:lang w:val="en-GB"/>
        </w:rPr>
        <w:t>/beams</w:t>
      </w:r>
      <w:r w:rsidRPr="00C31945">
        <w:rPr>
          <w:rFonts w:ascii="Arial" w:hAnsi="Arial" w:cs="Arial"/>
          <w:lang w:val="en-GB"/>
        </w:rPr>
        <w:t xml:space="preserve"> with very low UE density. </w:t>
      </w:r>
    </w:p>
    <w:p w14:paraId="768E5DEF" w14:textId="77777777" w:rsidR="00AF34CA" w:rsidRDefault="00AF34CA" w:rsidP="0059677F">
      <w:pPr>
        <w:jc w:val="both"/>
        <w:rPr>
          <w:rFonts w:ascii="Arial" w:hAnsi="Arial" w:cs="Arial"/>
          <w:lang w:val="en-GB"/>
        </w:rPr>
      </w:pPr>
    </w:p>
    <w:p w14:paraId="1DB277B6" w14:textId="741B192F" w:rsidR="0059677F" w:rsidRDefault="0059677F" w:rsidP="0059677F">
      <w:pPr>
        <w:jc w:val="both"/>
        <w:rPr>
          <w:rFonts w:ascii="Arial" w:hAnsi="Arial" w:cs="Arial"/>
          <w:lang w:val="en-GB"/>
        </w:rPr>
      </w:pPr>
      <w:r w:rsidRPr="00C31945">
        <w:rPr>
          <w:rFonts w:ascii="Arial" w:hAnsi="Arial" w:cs="Arial"/>
          <w:lang w:val="en-GB"/>
        </w:rPr>
        <w:t>To address the issues, non-uniform configuration of PRACH resources in the spatial domain</w:t>
      </w:r>
      <w:r>
        <w:rPr>
          <w:rFonts w:ascii="Arial" w:hAnsi="Arial" w:cs="Arial"/>
          <w:lang w:val="en-GB"/>
        </w:rPr>
        <w:t xml:space="preserve"> can be considered</w:t>
      </w:r>
      <w:r w:rsidRPr="00C31945">
        <w:rPr>
          <w:rFonts w:ascii="Arial" w:hAnsi="Arial" w:cs="Arial"/>
          <w:lang w:val="en-GB"/>
        </w:rPr>
        <w:t xml:space="preserve">, </w:t>
      </w:r>
      <w:r>
        <w:rPr>
          <w:rFonts w:ascii="Arial" w:hAnsi="Arial" w:cs="Arial"/>
          <w:lang w:val="en-GB"/>
        </w:rPr>
        <w:t xml:space="preserve">e.g. </w:t>
      </w:r>
      <w:r w:rsidRPr="00C31945">
        <w:rPr>
          <w:rFonts w:ascii="Arial" w:hAnsi="Arial" w:cs="Arial"/>
          <w:lang w:val="en-GB"/>
        </w:rPr>
        <w:t xml:space="preserve">as shown in Figure </w:t>
      </w:r>
      <w:r w:rsidR="00DD7B44">
        <w:rPr>
          <w:rFonts w:ascii="Arial" w:hAnsi="Arial" w:cs="Arial"/>
          <w:lang w:val="en-GB"/>
        </w:rPr>
        <w:t>8</w:t>
      </w:r>
      <w:r>
        <w:rPr>
          <w:rFonts w:ascii="Arial" w:hAnsi="Arial" w:cs="Arial"/>
          <w:lang w:val="en-GB"/>
        </w:rPr>
        <w:t>, by adding an additional second PRACH configuration that maps ROs to only a subset of SSBs (only SSBs 2 and 3) instead of mapping them to all transmitted SSBs</w:t>
      </w:r>
      <w:r w:rsidRPr="00C31945">
        <w:rPr>
          <w:rFonts w:ascii="Arial" w:hAnsi="Arial" w:cs="Arial"/>
          <w:lang w:val="en-GB"/>
        </w:rPr>
        <w:t xml:space="preserve">. </w:t>
      </w:r>
      <w:r>
        <w:rPr>
          <w:rFonts w:ascii="Arial" w:hAnsi="Arial" w:cs="Arial"/>
          <w:lang w:val="en-GB"/>
        </w:rPr>
        <w:t>Thus, this can be achieved by using a unified framework with RACH adaptation in time domain (i.e. with proposal 7 in section 2.2.1).</w:t>
      </w:r>
    </w:p>
    <w:p w14:paraId="37C5B710" w14:textId="77777777" w:rsidR="00AF34CA" w:rsidRDefault="0059677F" w:rsidP="00AF34CA">
      <w:pPr>
        <w:keepNext/>
        <w:jc w:val="center"/>
      </w:pPr>
      <w:r>
        <w:rPr>
          <w:rFonts w:ascii="Arial" w:hAnsi="Arial" w:cs="Arial"/>
          <w:noProof/>
          <w:lang w:val="en-GB"/>
        </w:rPr>
        <w:drawing>
          <wp:inline distT="0" distB="0" distL="0" distR="0" wp14:anchorId="09A63EF2" wp14:editId="49C97586">
            <wp:extent cx="6123940" cy="2637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3940" cy="2637790"/>
                    </a:xfrm>
                    <a:prstGeom prst="rect">
                      <a:avLst/>
                    </a:prstGeom>
                    <a:noFill/>
                  </pic:spPr>
                </pic:pic>
              </a:graphicData>
            </a:graphic>
          </wp:inline>
        </w:drawing>
      </w:r>
    </w:p>
    <w:p w14:paraId="45E27293" w14:textId="1D12947D" w:rsidR="0059677F" w:rsidRPr="00AF34CA" w:rsidRDefault="00AF34CA" w:rsidP="00AF34CA">
      <w:pPr>
        <w:pStyle w:val="Caption"/>
        <w:jc w:val="center"/>
      </w:pPr>
      <w:r>
        <w:t xml:space="preserve">Figure </w:t>
      </w:r>
      <w:fldSimple w:instr=" SEQ Figure \* ARABIC ">
        <w:r w:rsidR="00170133">
          <w:rPr>
            <w:noProof/>
          </w:rPr>
          <w:t>8</w:t>
        </w:r>
      </w:fldSimple>
      <w:r>
        <w:t xml:space="preserve">: </w:t>
      </w:r>
      <w:r w:rsidR="0059677F" w:rsidRPr="00AD3591">
        <w:t>PRACH in spatial domain: uniform ROs in 1st PRACH configuration</w:t>
      </w:r>
      <w:r w:rsidR="0059677F">
        <w:t xml:space="preserve"> </w:t>
      </w:r>
      <w:r w:rsidR="0059677F" w:rsidRPr="00AD3591">
        <w:t>(e.g. legacy) and non-uniform ROs in 2nd PRACH configuration (e.g. for Rel-19</w:t>
      </w:r>
      <w:r w:rsidR="0059677F">
        <w:t xml:space="preserve"> UEs</w:t>
      </w:r>
      <w:r w:rsidR="0059677F" w:rsidRPr="00AD3591">
        <w:t>)</w:t>
      </w:r>
      <w:r w:rsidR="0059677F" w:rsidRPr="00C31945">
        <w:rPr>
          <w:rFonts w:ascii="Arial" w:hAnsi="Arial" w:cs="Arial"/>
          <w:color w:val="000000" w:themeColor="text1"/>
        </w:rPr>
        <w:t>.</w:t>
      </w:r>
    </w:p>
    <w:p w14:paraId="6AF11B9C" w14:textId="748E6E69" w:rsidR="00233A21" w:rsidRDefault="00233A21" w:rsidP="00A106CD">
      <w:pPr>
        <w:jc w:val="both"/>
        <w:rPr>
          <w:rFonts w:ascii="Arial" w:hAnsi="Arial" w:cs="Arial"/>
          <w:lang w:val="en-GB"/>
        </w:rPr>
      </w:pPr>
      <w:r w:rsidRPr="00950006">
        <w:rPr>
          <w:rFonts w:ascii="Arial" w:hAnsi="Arial" w:cs="Arial"/>
          <w:lang w:val="en-GB"/>
        </w:rPr>
        <w:t xml:space="preserve">We </w:t>
      </w:r>
      <w:r>
        <w:rPr>
          <w:rFonts w:ascii="Arial" w:hAnsi="Arial" w:cs="Arial"/>
          <w:lang w:val="en-GB"/>
        </w:rPr>
        <w:t xml:space="preserve">first provide some data/analysis on </w:t>
      </w:r>
      <w:r w:rsidR="00A106CD">
        <w:rPr>
          <w:rFonts w:ascii="Arial" w:hAnsi="Arial" w:cs="Arial"/>
          <w:lang w:val="en-GB"/>
        </w:rPr>
        <w:t>UE distribution across the different beams</w:t>
      </w:r>
      <w:r w:rsidR="004913D9">
        <w:rPr>
          <w:rFonts w:ascii="Arial" w:hAnsi="Arial" w:cs="Arial"/>
          <w:lang w:val="en-GB"/>
        </w:rPr>
        <w:t xml:space="preserve"> in below figure</w:t>
      </w:r>
      <w:r w:rsidR="00A106CD">
        <w:rPr>
          <w:rFonts w:ascii="Arial" w:hAnsi="Arial" w:cs="Arial"/>
          <w:lang w:val="en-GB"/>
        </w:rPr>
        <w:t>. The scenarios are primarily based on FR2 deployments and show the percentage of number of UEs in coverage of different SSBs vs the percentage of SSBs. Scenarios</w:t>
      </w:r>
      <w:r>
        <w:rPr>
          <w:rFonts w:ascii="Arial" w:hAnsi="Arial" w:cs="Arial"/>
          <w:lang w:val="en-GB"/>
        </w:rPr>
        <w:t xml:space="preserve"> </w:t>
      </w:r>
      <w:r w:rsidR="00A106CD">
        <w:rPr>
          <w:rFonts w:ascii="Arial" w:hAnsi="Arial" w:cs="Arial"/>
          <w:lang w:val="en-GB"/>
        </w:rPr>
        <w:t xml:space="preserve">1 and 2 show some typical cases </w:t>
      </w:r>
      <w:r w:rsidR="002573C8">
        <w:rPr>
          <w:rFonts w:ascii="Arial" w:hAnsi="Arial" w:cs="Arial"/>
          <w:lang w:val="en-GB"/>
        </w:rPr>
        <w:t>of urban/suburban scenarios and the observed user</w:t>
      </w:r>
      <w:r w:rsidR="00A106CD">
        <w:rPr>
          <w:rFonts w:ascii="Arial" w:hAnsi="Arial" w:cs="Arial"/>
          <w:lang w:val="en-GB"/>
        </w:rPr>
        <w:t xml:space="preserve"> distributions</w:t>
      </w:r>
      <w:r>
        <w:rPr>
          <w:rFonts w:ascii="Arial" w:hAnsi="Arial" w:cs="Arial"/>
          <w:lang w:val="en-GB"/>
        </w:rPr>
        <w:t xml:space="preserve">. </w:t>
      </w:r>
      <w:r w:rsidR="00A106CD">
        <w:rPr>
          <w:rFonts w:ascii="Arial" w:hAnsi="Arial" w:cs="Arial"/>
          <w:lang w:val="en-GB"/>
        </w:rPr>
        <w:t xml:space="preserve">Scenario 3 shows a hotspot-like case (stadium) where the user distribution may be more uniform. </w:t>
      </w:r>
      <w:r w:rsidR="00D51999">
        <w:rPr>
          <w:rFonts w:ascii="Arial" w:hAnsi="Arial" w:cs="Arial"/>
          <w:lang w:val="en-GB"/>
        </w:rPr>
        <w:t>For example, the figure shows that for scenario 1, less than 10% of users would be in coverage of 50% of the SSBs</w:t>
      </w:r>
      <w:r w:rsidR="00DB1A75">
        <w:rPr>
          <w:rFonts w:ascii="Arial" w:hAnsi="Arial" w:cs="Arial"/>
          <w:lang w:val="en-GB"/>
        </w:rPr>
        <w:t xml:space="preserve"> while the remaining 90% users are in the coverage of the other 50% of the SSBs</w:t>
      </w:r>
      <w:r w:rsidR="00D51999">
        <w:rPr>
          <w:rFonts w:ascii="Arial" w:hAnsi="Arial" w:cs="Arial"/>
          <w:lang w:val="en-GB"/>
        </w:rPr>
        <w:t>. Similarly for scenario 2, less</w:t>
      </w:r>
      <w:r w:rsidR="00D51999" w:rsidRPr="00D51999">
        <w:rPr>
          <w:rFonts w:ascii="Arial" w:hAnsi="Arial" w:cs="Arial"/>
          <w:lang w:val="en-GB"/>
        </w:rPr>
        <w:t xml:space="preserve"> </w:t>
      </w:r>
      <w:r w:rsidR="00D51999">
        <w:rPr>
          <w:rFonts w:ascii="Arial" w:hAnsi="Arial" w:cs="Arial"/>
          <w:lang w:val="en-GB"/>
        </w:rPr>
        <w:t>than 20% of users would be in coverage of 50% of the SSBs</w:t>
      </w:r>
      <w:r w:rsidR="00DB1A75">
        <w:rPr>
          <w:rFonts w:ascii="Arial" w:hAnsi="Arial" w:cs="Arial"/>
          <w:lang w:val="en-GB"/>
        </w:rPr>
        <w:t xml:space="preserve"> and the remaining 80% users are in the coverage of the other 50% of the SSBs</w:t>
      </w:r>
      <w:r w:rsidR="00D51999">
        <w:rPr>
          <w:rFonts w:ascii="Arial" w:hAnsi="Arial" w:cs="Arial"/>
          <w:lang w:val="en-GB"/>
        </w:rPr>
        <w:t>.</w:t>
      </w:r>
    </w:p>
    <w:p w14:paraId="1B435459" w14:textId="77777777" w:rsidR="00E12397" w:rsidRDefault="00E12397" w:rsidP="00A106CD">
      <w:pPr>
        <w:jc w:val="both"/>
        <w:rPr>
          <w:rFonts w:ascii="Arial" w:hAnsi="Arial" w:cs="Arial"/>
          <w:lang w:val="en-GB"/>
        </w:rPr>
      </w:pPr>
    </w:p>
    <w:p w14:paraId="40C2C983" w14:textId="6E1FF6D3" w:rsidR="00D51999" w:rsidRPr="00FE61C2" w:rsidRDefault="00D51999" w:rsidP="00FE61C2">
      <w:pPr>
        <w:pStyle w:val="Observation"/>
        <w:numPr>
          <w:ilvl w:val="0"/>
          <w:numId w:val="3"/>
        </w:numPr>
        <w:ind w:left="1560" w:hanging="1560"/>
        <w:rPr>
          <w:rFonts w:cs="Arial"/>
          <w:lang w:val="en-CA"/>
        </w:rPr>
      </w:pPr>
      <w:bookmarkStart w:id="68" w:name="_Toc166252127"/>
      <w:r>
        <w:rPr>
          <w:rFonts w:cs="Arial"/>
          <w:lang w:val="en-CA"/>
        </w:rPr>
        <w:t>N</w:t>
      </w:r>
      <w:r w:rsidRPr="00FE61C2">
        <w:rPr>
          <w:rFonts w:cs="Arial"/>
          <w:lang w:val="en-CA"/>
        </w:rPr>
        <w:t xml:space="preserve">on-uniform distribution of UEs in different beams </w:t>
      </w:r>
      <w:r>
        <w:rPr>
          <w:rFonts w:cs="Arial"/>
          <w:lang w:val="en-CA"/>
        </w:rPr>
        <w:t>is observed in practical deployments, particularly in FR2.</w:t>
      </w:r>
      <w:bookmarkEnd w:id="68"/>
    </w:p>
    <w:p w14:paraId="19A66563" w14:textId="77777777" w:rsidR="004913D9" w:rsidRDefault="00A106CD" w:rsidP="004913D9">
      <w:pPr>
        <w:keepNext/>
        <w:tabs>
          <w:tab w:val="left" w:pos="1701"/>
        </w:tabs>
        <w:spacing w:after="120" w:line="256" w:lineRule="auto"/>
        <w:jc w:val="center"/>
      </w:pPr>
      <w:r>
        <w:rPr>
          <w:noProof/>
        </w:rPr>
        <w:drawing>
          <wp:inline distT="0" distB="0" distL="0" distR="0" wp14:anchorId="65695807" wp14:editId="21237609">
            <wp:extent cx="3685032" cy="2761488"/>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85032" cy="2761488"/>
                    </a:xfrm>
                    <a:prstGeom prst="rect">
                      <a:avLst/>
                    </a:prstGeom>
                    <a:noFill/>
                    <a:ln>
                      <a:noFill/>
                    </a:ln>
                  </pic:spPr>
                </pic:pic>
              </a:graphicData>
            </a:graphic>
          </wp:inline>
        </w:drawing>
      </w:r>
    </w:p>
    <w:p w14:paraId="5560D057" w14:textId="3043110A" w:rsidR="00233A21" w:rsidRDefault="004913D9" w:rsidP="004913D9">
      <w:pPr>
        <w:pStyle w:val="Caption"/>
        <w:jc w:val="center"/>
        <w:rPr>
          <w:rFonts w:ascii="Arial" w:hAnsi="Arial" w:cs="Arial"/>
          <w:b/>
          <w:bCs/>
          <w:lang w:val="en-GB"/>
        </w:rPr>
      </w:pPr>
      <w:r>
        <w:t xml:space="preserve">Figure </w:t>
      </w:r>
      <w:fldSimple w:instr=" SEQ Figure \* ARABIC ">
        <w:r w:rsidR="00170133">
          <w:rPr>
            <w:noProof/>
          </w:rPr>
          <w:t>9</w:t>
        </w:r>
      </w:fldSimple>
      <w:r>
        <w:t>:</w:t>
      </w:r>
      <w:r w:rsidR="00233A21">
        <w:t xml:space="preserve"> </w:t>
      </w:r>
      <w:r w:rsidR="00A106CD">
        <w:t>Illustration of</w:t>
      </w:r>
      <w:r w:rsidR="00233A21" w:rsidRPr="003C6639">
        <w:t xml:space="preserve"> the non-uniform distribution on UEs in spatial domain</w:t>
      </w:r>
      <w:r w:rsidR="00A106CD">
        <w:t xml:space="preserve"> for three different scenarios</w:t>
      </w:r>
      <w:r w:rsidR="00233A21">
        <w:t>.</w:t>
      </w:r>
    </w:p>
    <w:p w14:paraId="3852280C" w14:textId="0887C083" w:rsidR="00233A21" w:rsidRPr="00FF26D0" w:rsidRDefault="00233A21" w:rsidP="00233A21">
      <w:pPr>
        <w:pStyle w:val="Observation"/>
        <w:numPr>
          <w:ilvl w:val="0"/>
          <w:numId w:val="0"/>
        </w:numPr>
        <w:rPr>
          <w:rFonts w:cs="Arial"/>
          <w:b w:val="0"/>
          <w:bCs w:val="0"/>
          <w:lang w:val="en-GB" w:eastAsia="zh-CN"/>
        </w:rPr>
      </w:pPr>
      <w:bookmarkStart w:id="69" w:name="_Toc165984157"/>
      <w:bookmarkStart w:id="70" w:name="_Toc165984159"/>
      <w:bookmarkStart w:id="71" w:name="_Toc166252128"/>
      <w:bookmarkEnd w:id="69"/>
      <w:r w:rsidRPr="00FF26D0">
        <w:rPr>
          <w:rFonts w:cs="Arial"/>
          <w:b w:val="0"/>
          <w:bCs w:val="0"/>
          <w:lang w:val="en-GB" w:eastAsia="zh-CN"/>
        </w:rPr>
        <w:t xml:space="preserve">We evaluated the energy-saving benefits of spatial </w:t>
      </w:r>
      <w:r w:rsidR="00DB1A75">
        <w:rPr>
          <w:rFonts w:cs="Arial"/>
          <w:b w:val="0"/>
          <w:bCs w:val="0"/>
          <w:lang w:val="en-GB" w:eastAsia="zh-CN"/>
        </w:rPr>
        <w:t xml:space="preserve">domain </w:t>
      </w:r>
      <w:r w:rsidRPr="00FF26D0">
        <w:rPr>
          <w:rFonts w:cs="Arial"/>
          <w:b w:val="0"/>
          <w:bCs w:val="0"/>
          <w:lang w:val="en-GB" w:eastAsia="zh-CN"/>
        </w:rPr>
        <w:t>PRACH adaptation</w:t>
      </w:r>
      <w:r w:rsidRPr="17FED466">
        <w:rPr>
          <w:rFonts w:cs="Arial"/>
          <w:b w:val="0"/>
          <w:bCs w:val="0"/>
          <w:lang w:val="en-GB" w:eastAsia="zh-CN"/>
        </w:rPr>
        <w:t>.</w:t>
      </w:r>
      <w:r w:rsidRPr="00FF26D0">
        <w:rPr>
          <w:rFonts w:cs="Arial"/>
          <w:b w:val="0"/>
          <w:bCs w:val="0"/>
          <w:lang w:val="en-GB" w:eastAsia="zh-CN"/>
        </w:rPr>
        <w:t xml:space="preserve"> </w:t>
      </w:r>
      <w:r w:rsidRPr="00FE61C2">
        <w:rPr>
          <w:rFonts w:cs="Arial"/>
          <w:b w:val="0"/>
          <w:bCs w:val="0"/>
          <w:lang w:val="en-GB" w:eastAsia="zh-CN"/>
        </w:rPr>
        <w:t>Table below</w:t>
      </w:r>
      <w:r w:rsidRPr="7E2C218C">
        <w:rPr>
          <w:rFonts w:cs="Arial"/>
          <w:b w:val="0"/>
          <w:bCs w:val="0"/>
          <w:lang w:val="en-GB" w:eastAsia="zh-CN"/>
        </w:rPr>
        <w:t xml:space="preserve"> </w:t>
      </w:r>
      <w:r w:rsidRPr="00FF26D0">
        <w:rPr>
          <w:rFonts w:cs="Arial"/>
          <w:b w:val="0"/>
          <w:bCs w:val="0"/>
          <w:lang w:val="en-GB" w:eastAsia="zh-CN"/>
        </w:rPr>
        <w:t>shows the simulation result for uniform/non-uniform PRACH configuration for spatial domain</w:t>
      </w:r>
      <w:r w:rsidRPr="7E2C218C">
        <w:rPr>
          <w:rFonts w:cs="Arial"/>
          <w:b w:val="0"/>
          <w:bCs w:val="0"/>
          <w:lang w:val="en-GB" w:eastAsia="zh-CN"/>
        </w:rPr>
        <w:t xml:space="preserve"> as per agreed framework for evaluation.</w:t>
      </w:r>
      <w:bookmarkEnd w:id="70"/>
      <w:r w:rsidRPr="7E2C218C">
        <w:rPr>
          <w:rFonts w:cs="Arial"/>
          <w:b w:val="0"/>
          <w:bCs w:val="0"/>
          <w:lang w:val="en-GB" w:eastAsia="zh-CN"/>
        </w:rPr>
        <w:t xml:space="preserve"> </w:t>
      </w:r>
      <w:r w:rsidR="005746DA">
        <w:rPr>
          <w:rFonts w:cs="Arial"/>
          <w:b w:val="0"/>
          <w:bCs w:val="0"/>
          <w:lang w:val="en-GB" w:eastAsia="zh-CN"/>
        </w:rPr>
        <w:t>Detailed results</w:t>
      </w:r>
      <w:r w:rsidR="00E12397">
        <w:rPr>
          <w:rFonts w:cs="Arial"/>
          <w:b w:val="0"/>
          <w:bCs w:val="0"/>
          <w:lang w:val="en-GB" w:eastAsia="zh-CN"/>
        </w:rPr>
        <w:t xml:space="preserve"> with assumed settings</w:t>
      </w:r>
      <w:r w:rsidR="005746DA">
        <w:rPr>
          <w:rFonts w:cs="Arial"/>
          <w:b w:val="0"/>
          <w:bCs w:val="0"/>
          <w:lang w:val="en-GB" w:eastAsia="zh-CN"/>
        </w:rPr>
        <w:t xml:space="preserve"> are </w:t>
      </w:r>
      <w:r w:rsidR="00E12397">
        <w:rPr>
          <w:rFonts w:cs="Arial"/>
          <w:b w:val="0"/>
          <w:bCs w:val="0"/>
          <w:lang w:val="en-GB" w:eastAsia="zh-CN"/>
        </w:rPr>
        <w:t xml:space="preserve">shown </w:t>
      </w:r>
      <w:r w:rsidR="005746DA">
        <w:rPr>
          <w:rFonts w:cs="Arial"/>
          <w:b w:val="0"/>
          <w:bCs w:val="0"/>
          <w:lang w:val="en-GB" w:eastAsia="zh-CN"/>
        </w:rPr>
        <w:t>in Annex A.</w:t>
      </w:r>
      <w:bookmarkEnd w:id="71"/>
    </w:p>
    <w:p w14:paraId="42D71B2B" w14:textId="5AF103FB" w:rsidR="00233A21" w:rsidRDefault="00233A21" w:rsidP="00DB1A75">
      <w:pPr>
        <w:pStyle w:val="Caption"/>
        <w:keepNext/>
        <w:jc w:val="center"/>
      </w:pPr>
      <w:r>
        <w:t xml:space="preserve">Table </w:t>
      </w:r>
      <w:fldSimple w:instr=" SEQ Table \* ARABIC ">
        <w:r>
          <w:rPr>
            <w:noProof/>
          </w:rPr>
          <w:t>1</w:t>
        </w:r>
      </w:fldSimple>
      <w:r>
        <w:t xml:space="preserve">: </w:t>
      </w:r>
      <w:r>
        <w:rPr>
          <w:rFonts w:eastAsia="PMingLiU"/>
          <w:lang w:eastAsia="zh-TW"/>
        </w:rPr>
        <w:t xml:space="preserve">Network energy savings gain achieved by </w:t>
      </w:r>
      <w:r w:rsidRPr="00CF5660">
        <w:rPr>
          <w:rFonts w:ascii="Times New Roman" w:hAnsi="Times New Roman"/>
        </w:rPr>
        <w:t>non-uniform PRACH resource</w:t>
      </w:r>
      <w:r>
        <w:rPr>
          <w:rFonts w:ascii="Times New Roman" w:hAnsi="Times New Roman"/>
        </w:rPr>
        <w:t xml:space="preserve"> allocation</w:t>
      </w:r>
      <w:r w:rsidRPr="00CF5660">
        <w:rPr>
          <w:rFonts w:ascii="Times New Roman" w:hAnsi="Times New Roman"/>
        </w:rPr>
        <w:t xml:space="preserve"> </w:t>
      </w:r>
      <w:r>
        <w:rPr>
          <w:rFonts w:ascii="Times New Roman" w:hAnsi="Times New Roman"/>
        </w:rPr>
        <w:t>across</w:t>
      </w:r>
      <w:r w:rsidRPr="00CF5660">
        <w:rPr>
          <w:rFonts w:ascii="Times New Roman" w:hAnsi="Times New Roman"/>
        </w:rPr>
        <w:t xml:space="preserve"> SSB</w:t>
      </w:r>
      <w:r>
        <w:rPr>
          <w:rFonts w:ascii="Times New Roman" w:hAnsi="Times New Roman"/>
        </w:rPr>
        <w:t>s</w:t>
      </w:r>
      <w:r w:rsidR="00405382">
        <w:rPr>
          <w:rFonts w:ascii="Times New Roman" w:hAnsi="Times New Roman"/>
        </w:rPr>
        <w:t>.</w:t>
      </w:r>
    </w:p>
    <w:tbl>
      <w:tblPr>
        <w:tblW w:w="745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6A0" w:firstRow="1" w:lastRow="0" w:firstColumn="1" w:lastColumn="0" w:noHBand="1" w:noVBand="1"/>
      </w:tblPr>
      <w:tblGrid>
        <w:gridCol w:w="885"/>
        <w:gridCol w:w="810"/>
        <w:gridCol w:w="990"/>
        <w:gridCol w:w="1170"/>
        <w:gridCol w:w="3600"/>
      </w:tblGrid>
      <w:tr w:rsidR="005746DA" w14:paraId="76118C02" w14:textId="3C4A9007" w:rsidTr="00FE61C2">
        <w:trPr>
          <w:trHeight w:val="1612"/>
          <w:jc w:val="center"/>
        </w:trPr>
        <w:tc>
          <w:tcPr>
            <w:tcW w:w="885" w:type="dxa"/>
            <w:tcMar>
              <w:top w:w="15" w:type="dxa"/>
              <w:left w:w="15" w:type="dxa"/>
              <w:right w:w="15" w:type="dxa"/>
            </w:tcMar>
            <w:vAlign w:val="center"/>
          </w:tcPr>
          <w:p w14:paraId="513A0D0C" w14:textId="77777777" w:rsidR="005746DA" w:rsidRDefault="005746DA" w:rsidP="00440E87">
            <w:pPr>
              <w:jc w:val="center"/>
              <w:rPr>
                <w:sz w:val="18"/>
                <w:szCs w:val="18"/>
              </w:rPr>
            </w:pPr>
            <w:r w:rsidRPr="7E2C218C">
              <w:rPr>
                <w:sz w:val="18"/>
                <w:szCs w:val="18"/>
              </w:rPr>
              <w:t>SIB1 period</w:t>
            </w:r>
          </w:p>
        </w:tc>
        <w:tc>
          <w:tcPr>
            <w:tcW w:w="810" w:type="dxa"/>
            <w:tcMar>
              <w:top w:w="15" w:type="dxa"/>
              <w:left w:w="15" w:type="dxa"/>
              <w:right w:w="15" w:type="dxa"/>
            </w:tcMar>
            <w:vAlign w:val="center"/>
          </w:tcPr>
          <w:p w14:paraId="3B1369B0" w14:textId="77777777" w:rsidR="005746DA" w:rsidRDefault="005746DA" w:rsidP="00440E87">
            <w:pPr>
              <w:jc w:val="center"/>
              <w:rPr>
                <w:sz w:val="18"/>
                <w:szCs w:val="18"/>
              </w:rPr>
            </w:pPr>
            <w:r w:rsidRPr="7E2C218C">
              <w:rPr>
                <w:sz w:val="18"/>
                <w:szCs w:val="18"/>
              </w:rPr>
              <w:t xml:space="preserve">Spatial domain PRACH adaptation </w:t>
            </w:r>
          </w:p>
        </w:tc>
        <w:tc>
          <w:tcPr>
            <w:tcW w:w="990" w:type="dxa"/>
            <w:tcMar>
              <w:top w:w="15" w:type="dxa"/>
              <w:left w:w="15" w:type="dxa"/>
              <w:right w:w="15" w:type="dxa"/>
            </w:tcMar>
            <w:vAlign w:val="center"/>
          </w:tcPr>
          <w:p w14:paraId="72CA6717" w14:textId="77777777" w:rsidR="005746DA" w:rsidRDefault="005746DA" w:rsidP="00440E87">
            <w:pPr>
              <w:jc w:val="center"/>
              <w:rPr>
                <w:sz w:val="18"/>
                <w:szCs w:val="18"/>
              </w:rPr>
            </w:pPr>
            <w:r w:rsidRPr="7E2C218C">
              <w:rPr>
                <w:sz w:val="18"/>
                <w:szCs w:val="18"/>
              </w:rPr>
              <w:t xml:space="preserve">Reference case </w:t>
            </w:r>
            <w:r>
              <w:rPr>
                <w:sz w:val="18"/>
                <w:szCs w:val="18"/>
              </w:rPr>
              <w:t>(</w:t>
            </w:r>
            <w:r w:rsidRPr="7E2C218C">
              <w:rPr>
                <w:sz w:val="18"/>
                <w:szCs w:val="18"/>
              </w:rPr>
              <w:t>legacy/time-domain PRACH adaptation</w:t>
            </w:r>
            <w:r>
              <w:rPr>
                <w:sz w:val="18"/>
                <w:szCs w:val="18"/>
              </w:rPr>
              <w:t>)</w:t>
            </w:r>
          </w:p>
        </w:tc>
        <w:tc>
          <w:tcPr>
            <w:tcW w:w="1170" w:type="dxa"/>
            <w:tcMar>
              <w:top w:w="15" w:type="dxa"/>
              <w:left w:w="15" w:type="dxa"/>
              <w:right w:w="15" w:type="dxa"/>
            </w:tcMar>
            <w:vAlign w:val="center"/>
          </w:tcPr>
          <w:p w14:paraId="59E1DB9C" w14:textId="77777777" w:rsidR="005746DA" w:rsidRDefault="005746DA" w:rsidP="00440E87">
            <w:pPr>
              <w:jc w:val="center"/>
              <w:rPr>
                <w:sz w:val="18"/>
                <w:szCs w:val="18"/>
              </w:rPr>
            </w:pPr>
            <w:r w:rsidRPr="7E2C218C">
              <w:rPr>
                <w:sz w:val="18"/>
                <w:szCs w:val="18"/>
              </w:rPr>
              <w:t>NES gain</w:t>
            </w:r>
            <w:r>
              <w:rPr>
                <w:sz w:val="18"/>
                <w:szCs w:val="18"/>
              </w:rPr>
              <w:t xml:space="preserve"> of spatial domain PRACH adaptation over reference case</w:t>
            </w:r>
          </w:p>
        </w:tc>
        <w:tc>
          <w:tcPr>
            <w:tcW w:w="3600" w:type="dxa"/>
            <w:vAlign w:val="center"/>
          </w:tcPr>
          <w:p w14:paraId="138441C6" w14:textId="65DEE1BA" w:rsidR="005746DA" w:rsidRDefault="005746DA" w:rsidP="00440E87">
            <w:pPr>
              <w:jc w:val="center"/>
              <w:rPr>
                <w:sz w:val="18"/>
                <w:szCs w:val="18"/>
              </w:rPr>
            </w:pPr>
            <w:r>
              <w:rPr>
                <w:sz w:val="18"/>
                <w:szCs w:val="18"/>
              </w:rPr>
              <w:t>Notes</w:t>
            </w:r>
          </w:p>
        </w:tc>
      </w:tr>
      <w:tr w:rsidR="005746DA" w14:paraId="1EEF2F9F" w14:textId="62547A55" w:rsidTr="00FE61C2">
        <w:trPr>
          <w:trHeight w:val="465"/>
          <w:jc w:val="center"/>
        </w:trPr>
        <w:tc>
          <w:tcPr>
            <w:tcW w:w="885" w:type="dxa"/>
            <w:tcMar>
              <w:top w:w="15" w:type="dxa"/>
              <w:left w:w="15" w:type="dxa"/>
              <w:right w:w="15" w:type="dxa"/>
            </w:tcMar>
            <w:vAlign w:val="center"/>
          </w:tcPr>
          <w:p w14:paraId="1A352A0E" w14:textId="77777777" w:rsidR="005746DA" w:rsidRDefault="005746DA" w:rsidP="00440E87">
            <w:pPr>
              <w:jc w:val="center"/>
              <w:rPr>
                <w:sz w:val="18"/>
                <w:szCs w:val="18"/>
              </w:rPr>
            </w:pPr>
            <w:r>
              <w:rPr>
                <w:sz w:val="18"/>
                <w:szCs w:val="18"/>
              </w:rPr>
              <w:t>4</w:t>
            </w:r>
            <w:r w:rsidRPr="7E2C218C">
              <w:rPr>
                <w:sz w:val="18"/>
                <w:szCs w:val="18"/>
              </w:rPr>
              <w:t>0ms</w:t>
            </w:r>
          </w:p>
        </w:tc>
        <w:tc>
          <w:tcPr>
            <w:tcW w:w="810" w:type="dxa"/>
            <w:tcMar>
              <w:top w:w="15" w:type="dxa"/>
              <w:left w:w="15" w:type="dxa"/>
              <w:right w:w="15" w:type="dxa"/>
            </w:tcMar>
            <w:vAlign w:val="center"/>
          </w:tcPr>
          <w:p w14:paraId="049B2259" w14:textId="77777777" w:rsidR="005746DA" w:rsidRDefault="005746DA" w:rsidP="00440E87">
            <w:pPr>
              <w:jc w:val="center"/>
              <w:rPr>
                <w:sz w:val="18"/>
                <w:szCs w:val="18"/>
              </w:rPr>
            </w:pPr>
            <w:r w:rsidRPr="7E2C218C">
              <w:rPr>
                <w:sz w:val="18"/>
                <w:szCs w:val="18"/>
              </w:rPr>
              <w:t>C1</w:t>
            </w:r>
          </w:p>
        </w:tc>
        <w:tc>
          <w:tcPr>
            <w:tcW w:w="990" w:type="dxa"/>
            <w:tcMar>
              <w:top w:w="15" w:type="dxa"/>
              <w:left w:w="15" w:type="dxa"/>
              <w:right w:w="15" w:type="dxa"/>
            </w:tcMar>
            <w:vAlign w:val="center"/>
          </w:tcPr>
          <w:p w14:paraId="4E8159D7" w14:textId="77777777" w:rsidR="005746DA" w:rsidRDefault="005746DA" w:rsidP="00440E87">
            <w:pPr>
              <w:jc w:val="center"/>
              <w:rPr>
                <w:sz w:val="18"/>
                <w:szCs w:val="18"/>
              </w:rPr>
            </w:pPr>
            <w:r w:rsidRPr="7E2C218C">
              <w:rPr>
                <w:sz w:val="18"/>
                <w:szCs w:val="18"/>
              </w:rPr>
              <w:t>A1-1</w:t>
            </w:r>
          </w:p>
        </w:tc>
        <w:tc>
          <w:tcPr>
            <w:tcW w:w="1170" w:type="dxa"/>
            <w:tcMar>
              <w:top w:w="15" w:type="dxa"/>
              <w:left w:w="15" w:type="dxa"/>
              <w:right w:w="15" w:type="dxa"/>
            </w:tcMar>
            <w:vAlign w:val="center"/>
          </w:tcPr>
          <w:p w14:paraId="53607F12" w14:textId="77777777" w:rsidR="005746DA" w:rsidRPr="00FE61C2" w:rsidRDefault="005746DA" w:rsidP="00440E87">
            <w:pPr>
              <w:jc w:val="center"/>
              <w:rPr>
                <w:rFonts w:ascii="Calibri" w:eastAsia="Calibri" w:hAnsi="Calibri" w:cs="Calibri"/>
                <w:sz w:val="20"/>
                <w:szCs w:val="20"/>
              </w:rPr>
            </w:pPr>
            <w:r w:rsidRPr="00FE61C2">
              <w:rPr>
                <w:rFonts w:ascii="Calibri" w:eastAsia="Calibri" w:hAnsi="Calibri" w:cs="Calibri"/>
                <w:sz w:val="20"/>
                <w:szCs w:val="20"/>
              </w:rPr>
              <w:t>-10%</w:t>
            </w:r>
          </w:p>
        </w:tc>
        <w:tc>
          <w:tcPr>
            <w:tcW w:w="3600" w:type="dxa"/>
            <w:vMerge w:val="restart"/>
            <w:vAlign w:val="center"/>
          </w:tcPr>
          <w:p w14:paraId="53C1E708" w14:textId="77777777" w:rsidR="005746DA" w:rsidRPr="000E77BF" w:rsidRDefault="005746DA" w:rsidP="005746DA">
            <w:pPr>
              <w:pStyle w:val="ListParagraph"/>
              <w:numPr>
                <w:ilvl w:val="0"/>
                <w:numId w:val="25"/>
              </w:numPr>
              <w:rPr>
                <w:color w:val="000000"/>
                <w:sz w:val="16"/>
                <w:szCs w:val="16"/>
              </w:rPr>
            </w:pPr>
            <w:r w:rsidRPr="000E77BF">
              <w:rPr>
                <w:color w:val="000000"/>
                <w:sz w:val="16"/>
                <w:szCs w:val="16"/>
              </w:rPr>
              <w:t>A1-</w:t>
            </w:r>
            <w:r w:rsidRPr="00440E87">
              <w:rPr>
                <w:color w:val="000000"/>
                <w:sz w:val="16"/>
                <w:szCs w:val="16"/>
              </w:rPr>
              <w:t>1:</w:t>
            </w:r>
            <w:r w:rsidRPr="000E77BF">
              <w:rPr>
                <w:color w:val="000000"/>
                <w:sz w:val="16"/>
                <w:szCs w:val="16"/>
              </w:rPr>
              <w:t xml:space="preserve"> </w:t>
            </w:r>
            <w:r>
              <w:rPr>
                <w:color w:val="000000"/>
                <w:sz w:val="16"/>
                <w:szCs w:val="16"/>
              </w:rPr>
              <w:t xml:space="preserve">(legacy) </w:t>
            </w:r>
            <w:r w:rsidRPr="000E77BF">
              <w:rPr>
                <w:color w:val="000000"/>
                <w:sz w:val="16"/>
                <w:szCs w:val="16"/>
              </w:rPr>
              <w:t>8 SSBs/RO,</w:t>
            </w:r>
          </w:p>
          <w:p w14:paraId="50C90FA6" w14:textId="77777777" w:rsidR="005746DA" w:rsidRPr="000E77BF" w:rsidRDefault="005746DA" w:rsidP="005746DA">
            <w:pPr>
              <w:pStyle w:val="ListParagraph"/>
              <w:numPr>
                <w:ilvl w:val="0"/>
                <w:numId w:val="25"/>
              </w:numPr>
              <w:rPr>
                <w:color w:val="000000"/>
                <w:sz w:val="16"/>
                <w:szCs w:val="16"/>
              </w:rPr>
            </w:pPr>
            <w:r w:rsidRPr="000E77BF">
              <w:rPr>
                <w:color w:val="000000"/>
                <w:sz w:val="16"/>
                <w:szCs w:val="16"/>
              </w:rPr>
              <w:t>A1-</w:t>
            </w:r>
            <w:r>
              <w:rPr>
                <w:color w:val="000000"/>
                <w:sz w:val="16"/>
                <w:szCs w:val="16"/>
              </w:rPr>
              <w:t>2</w:t>
            </w:r>
            <w:r w:rsidRPr="00440E87">
              <w:rPr>
                <w:color w:val="000000"/>
                <w:sz w:val="16"/>
                <w:szCs w:val="16"/>
              </w:rPr>
              <w:t>:</w:t>
            </w:r>
            <w:r w:rsidRPr="000E77BF">
              <w:rPr>
                <w:color w:val="000000"/>
                <w:sz w:val="16"/>
                <w:szCs w:val="16"/>
              </w:rPr>
              <w:t xml:space="preserve"> </w:t>
            </w:r>
            <w:r>
              <w:rPr>
                <w:color w:val="000000"/>
                <w:sz w:val="16"/>
                <w:szCs w:val="16"/>
              </w:rPr>
              <w:t xml:space="preserve">(legacy) </w:t>
            </w:r>
            <w:r w:rsidRPr="000E77BF">
              <w:rPr>
                <w:color w:val="000000"/>
                <w:sz w:val="16"/>
                <w:szCs w:val="16"/>
              </w:rPr>
              <w:t>8 SSBs/RO,</w:t>
            </w:r>
          </w:p>
          <w:p w14:paraId="4C6A22CE" w14:textId="77777777" w:rsidR="005746DA" w:rsidRDefault="005746DA" w:rsidP="005746DA">
            <w:pPr>
              <w:pStyle w:val="ListParagraph"/>
              <w:numPr>
                <w:ilvl w:val="0"/>
                <w:numId w:val="25"/>
              </w:numPr>
              <w:rPr>
                <w:color w:val="000000"/>
                <w:sz w:val="16"/>
                <w:szCs w:val="16"/>
              </w:rPr>
            </w:pPr>
            <w:r w:rsidRPr="000E77BF">
              <w:rPr>
                <w:color w:val="000000"/>
                <w:sz w:val="16"/>
                <w:szCs w:val="16"/>
              </w:rPr>
              <w:t>C</w:t>
            </w:r>
            <w:r w:rsidRPr="00440E87">
              <w:rPr>
                <w:color w:val="000000"/>
                <w:sz w:val="16"/>
                <w:szCs w:val="16"/>
              </w:rPr>
              <w:t>1:</w:t>
            </w:r>
            <w:r w:rsidRPr="000E77BF">
              <w:rPr>
                <w:color w:val="000000"/>
                <w:sz w:val="16"/>
                <w:szCs w:val="16"/>
              </w:rPr>
              <w:t xml:space="preserve"> </w:t>
            </w:r>
            <w:r>
              <w:rPr>
                <w:color w:val="000000"/>
                <w:sz w:val="16"/>
                <w:szCs w:val="16"/>
              </w:rPr>
              <w:t>One</w:t>
            </w:r>
            <w:r w:rsidRPr="000E77BF">
              <w:rPr>
                <w:color w:val="000000"/>
                <w:sz w:val="16"/>
                <w:szCs w:val="16"/>
              </w:rPr>
              <w:t xml:space="preserve"> additional </w:t>
            </w:r>
            <w:r w:rsidRPr="00440E87">
              <w:rPr>
                <w:color w:val="000000"/>
                <w:sz w:val="16"/>
                <w:szCs w:val="16"/>
              </w:rPr>
              <w:t>RO</w:t>
            </w:r>
            <w:r>
              <w:rPr>
                <w:color w:val="000000"/>
                <w:sz w:val="16"/>
                <w:szCs w:val="16"/>
              </w:rPr>
              <w:t xml:space="preserve"> per 20ms</w:t>
            </w:r>
            <w:r w:rsidRPr="00440E87">
              <w:rPr>
                <w:color w:val="000000"/>
                <w:sz w:val="16"/>
                <w:szCs w:val="16"/>
              </w:rPr>
              <w:t>, 4</w:t>
            </w:r>
            <w:r w:rsidRPr="000E77BF">
              <w:rPr>
                <w:color w:val="000000"/>
                <w:sz w:val="16"/>
                <w:szCs w:val="16"/>
              </w:rPr>
              <w:t xml:space="preserve">SSBs/RO for additional RO; </w:t>
            </w:r>
            <w:r>
              <w:rPr>
                <w:color w:val="000000"/>
                <w:sz w:val="16"/>
                <w:szCs w:val="16"/>
              </w:rPr>
              <w:t xml:space="preserve">[ </w:t>
            </w:r>
            <w:r w:rsidRPr="000E77BF">
              <w:rPr>
                <w:color w:val="000000"/>
                <w:sz w:val="16"/>
                <w:szCs w:val="16"/>
              </w:rPr>
              <w:t>2nd additional RO is dropped</w:t>
            </w:r>
            <w:r>
              <w:rPr>
                <w:color w:val="000000"/>
                <w:sz w:val="16"/>
                <w:szCs w:val="16"/>
              </w:rPr>
              <w:t xml:space="preserve"> i.e.. </w:t>
            </w:r>
            <w:r w:rsidRPr="000E77BF">
              <w:rPr>
                <w:color w:val="000000"/>
                <w:sz w:val="16"/>
                <w:szCs w:val="16"/>
              </w:rPr>
              <w:t>Additional RO for only half of the SSBs.</w:t>
            </w:r>
            <w:r>
              <w:rPr>
                <w:color w:val="000000"/>
                <w:sz w:val="16"/>
                <w:szCs w:val="16"/>
              </w:rPr>
              <w:t>]</w:t>
            </w:r>
          </w:p>
          <w:p w14:paraId="1EC607F6" w14:textId="77777777" w:rsidR="005746DA" w:rsidRPr="000E77BF" w:rsidRDefault="005746DA" w:rsidP="005746DA">
            <w:pPr>
              <w:pStyle w:val="ListParagraph"/>
              <w:numPr>
                <w:ilvl w:val="0"/>
                <w:numId w:val="25"/>
              </w:numPr>
              <w:rPr>
                <w:color w:val="000000"/>
                <w:sz w:val="16"/>
                <w:szCs w:val="16"/>
              </w:rPr>
            </w:pPr>
            <w:r>
              <w:rPr>
                <w:color w:val="000000"/>
                <w:sz w:val="16"/>
                <w:szCs w:val="16"/>
              </w:rPr>
              <w:t>B1: Three additional ROs per 20ms, 8 SSBs/RO,</w:t>
            </w:r>
          </w:p>
          <w:p w14:paraId="2E2C3B04" w14:textId="77777777" w:rsidR="005746DA" w:rsidRPr="006C71A5" w:rsidRDefault="005746DA" w:rsidP="005746DA">
            <w:pPr>
              <w:pStyle w:val="ListParagraph"/>
              <w:numPr>
                <w:ilvl w:val="0"/>
                <w:numId w:val="25"/>
              </w:numPr>
              <w:rPr>
                <w:color w:val="000000"/>
                <w:sz w:val="16"/>
                <w:szCs w:val="16"/>
              </w:rPr>
            </w:pPr>
            <w:r w:rsidRPr="006C71A5">
              <w:rPr>
                <w:color w:val="000000"/>
                <w:sz w:val="16"/>
                <w:szCs w:val="16"/>
              </w:rPr>
              <w:t xml:space="preserve">for A2-1: 1 RO, 8 SSBs/RO, </w:t>
            </w:r>
          </w:p>
          <w:p w14:paraId="71E0C957" w14:textId="77777777" w:rsidR="005746DA" w:rsidRPr="006C71A5" w:rsidRDefault="005746DA" w:rsidP="005746DA">
            <w:pPr>
              <w:pStyle w:val="ListParagraph"/>
              <w:numPr>
                <w:ilvl w:val="0"/>
                <w:numId w:val="25"/>
              </w:numPr>
              <w:rPr>
                <w:color w:val="000000"/>
                <w:sz w:val="16"/>
                <w:szCs w:val="16"/>
              </w:rPr>
            </w:pPr>
            <w:r w:rsidRPr="006C71A5">
              <w:rPr>
                <w:color w:val="000000"/>
                <w:sz w:val="16"/>
                <w:szCs w:val="16"/>
              </w:rPr>
              <w:t>C2: One additional RO in FDM per 160ms, 4SSBs/RO for additional RO; [Additional RO for only half of the SSBs.]</w:t>
            </w:r>
          </w:p>
          <w:p w14:paraId="5798F3FB" w14:textId="77777777" w:rsidR="005746DA" w:rsidRDefault="005746DA" w:rsidP="005746DA">
            <w:pPr>
              <w:pStyle w:val="ListParagraph"/>
              <w:numPr>
                <w:ilvl w:val="0"/>
                <w:numId w:val="25"/>
              </w:numPr>
              <w:rPr>
                <w:color w:val="000000"/>
                <w:sz w:val="16"/>
                <w:szCs w:val="16"/>
              </w:rPr>
            </w:pPr>
            <w:r w:rsidRPr="006C71A5">
              <w:rPr>
                <w:color w:val="000000"/>
                <w:sz w:val="16"/>
                <w:szCs w:val="16"/>
              </w:rPr>
              <w:t xml:space="preserve">B2: Two additional ROs in FDM, 4 SSBs/RO </w:t>
            </w:r>
          </w:p>
          <w:p w14:paraId="5DE602CB" w14:textId="6284E517" w:rsidR="005746DA" w:rsidRPr="00FE61C2" w:rsidRDefault="005746DA" w:rsidP="00FE61C2">
            <w:pPr>
              <w:pStyle w:val="ListParagraph"/>
              <w:numPr>
                <w:ilvl w:val="0"/>
                <w:numId w:val="25"/>
              </w:numPr>
              <w:rPr>
                <w:color w:val="000000"/>
                <w:sz w:val="16"/>
                <w:szCs w:val="16"/>
              </w:rPr>
            </w:pPr>
            <w:r w:rsidRPr="006C71A5">
              <w:rPr>
                <w:color w:val="000000"/>
                <w:sz w:val="16"/>
                <w:szCs w:val="16"/>
              </w:rPr>
              <w:t>1-symbol PDCCH for SIB1 scheduling.</w:t>
            </w:r>
          </w:p>
        </w:tc>
      </w:tr>
      <w:tr w:rsidR="005746DA" w14:paraId="7D2B2E12" w14:textId="34DF8DC2" w:rsidTr="00FE61C2">
        <w:trPr>
          <w:trHeight w:val="465"/>
          <w:jc w:val="center"/>
        </w:trPr>
        <w:tc>
          <w:tcPr>
            <w:tcW w:w="885" w:type="dxa"/>
            <w:tcMar>
              <w:top w:w="15" w:type="dxa"/>
              <w:left w:w="15" w:type="dxa"/>
              <w:right w:w="15" w:type="dxa"/>
            </w:tcMar>
            <w:vAlign w:val="center"/>
          </w:tcPr>
          <w:p w14:paraId="59029D15" w14:textId="77777777" w:rsidR="005746DA" w:rsidRDefault="005746DA" w:rsidP="00440E87">
            <w:pPr>
              <w:jc w:val="center"/>
              <w:rPr>
                <w:sz w:val="18"/>
                <w:szCs w:val="18"/>
              </w:rPr>
            </w:pPr>
            <w:r>
              <w:rPr>
                <w:sz w:val="18"/>
                <w:szCs w:val="18"/>
              </w:rPr>
              <w:t>4</w:t>
            </w:r>
            <w:r w:rsidRPr="7E2C218C">
              <w:rPr>
                <w:sz w:val="18"/>
                <w:szCs w:val="18"/>
              </w:rPr>
              <w:t>0ms</w:t>
            </w:r>
          </w:p>
        </w:tc>
        <w:tc>
          <w:tcPr>
            <w:tcW w:w="810" w:type="dxa"/>
            <w:tcMar>
              <w:top w:w="15" w:type="dxa"/>
              <w:left w:w="15" w:type="dxa"/>
              <w:right w:w="15" w:type="dxa"/>
            </w:tcMar>
            <w:vAlign w:val="center"/>
          </w:tcPr>
          <w:p w14:paraId="545122EB" w14:textId="77777777" w:rsidR="005746DA" w:rsidRDefault="005746DA" w:rsidP="00440E87">
            <w:pPr>
              <w:jc w:val="center"/>
              <w:rPr>
                <w:sz w:val="18"/>
                <w:szCs w:val="18"/>
              </w:rPr>
            </w:pPr>
            <w:r w:rsidRPr="7E2C218C">
              <w:rPr>
                <w:sz w:val="18"/>
                <w:szCs w:val="18"/>
              </w:rPr>
              <w:t>C1</w:t>
            </w:r>
          </w:p>
        </w:tc>
        <w:tc>
          <w:tcPr>
            <w:tcW w:w="990" w:type="dxa"/>
            <w:tcMar>
              <w:top w:w="15" w:type="dxa"/>
              <w:left w:w="15" w:type="dxa"/>
              <w:right w:w="15" w:type="dxa"/>
            </w:tcMar>
            <w:vAlign w:val="center"/>
          </w:tcPr>
          <w:p w14:paraId="47B5679D" w14:textId="77777777" w:rsidR="005746DA" w:rsidRDefault="005746DA" w:rsidP="00440E87">
            <w:pPr>
              <w:jc w:val="center"/>
              <w:rPr>
                <w:sz w:val="18"/>
                <w:szCs w:val="18"/>
              </w:rPr>
            </w:pPr>
            <w:r w:rsidRPr="7E2C218C">
              <w:rPr>
                <w:sz w:val="18"/>
                <w:szCs w:val="18"/>
              </w:rPr>
              <w:t>A1-2</w:t>
            </w:r>
          </w:p>
        </w:tc>
        <w:tc>
          <w:tcPr>
            <w:tcW w:w="1170" w:type="dxa"/>
            <w:tcMar>
              <w:top w:w="15" w:type="dxa"/>
              <w:left w:w="15" w:type="dxa"/>
              <w:right w:w="15" w:type="dxa"/>
            </w:tcMar>
            <w:vAlign w:val="center"/>
          </w:tcPr>
          <w:p w14:paraId="1554CE80" w14:textId="77777777" w:rsidR="005746DA" w:rsidRPr="00FE61C2" w:rsidRDefault="005746DA" w:rsidP="00440E87">
            <w:pPr>
              <w:jc w:val="center"/>
              <w:rPr>
                <w:rFonts w:ascii="Calibri" w:eastAsia="Calibri" w:hAnsi="Calibri" w:cs="Calibri"/>
                <w:sz w:val="20"/>
                <w:szCs w:val="20"/>
              </w:rPr>
            </w:pPr>
            <w:r w:rsidRPr="00FE61C2">
              <w:rPr>
                <w:rFonts w:ascii="Calibri" w:eastAsia="Calibri" w:hAnsi="Calibri" w:cs="Calibri"/>
                <w:sz w:val="20"/>
                <w:szCs w:val="20"/>
              </w:rPr>
              <w:t>24%</w:t>
            </w:r>
          </w:p>
        </w:tc>
        <w:tc>
          <w:tcPr>
            <w:tcW w:w="3600" w:type="dxa"/>
            <w:vMerge/>
            <w:vAlign w:val="center"/>
          </w:tcPr>
          <w:p w14:paraId="7F4E1953" w14:textId="7BA57096" w:rsidR="005746DA" w:rsidRDefault="005746DA" w:rsidP="00440E87">
            <w:pPr>
              <w:jc w:val="center"/>
              <w:rPr>
                <w:rFonts w:ascii="Calibri" w:eastAsia="Calibri" w:hAnsi="Calibri" w:cs="Calibri"/>
              </w:rPr>
            </w:pPr>
          </w:p>
        </w:tc>
      </w:tr>
      <w:tr w:rsidR="005746DA" w14:paraId="3A63121C" w14:textId="5DF1DD8E" w:rsidTr="00FE61C2">
        <w:trPr>
          <w:trHeight w:val="465"/>
          <w:jc w:val="center"/>
        </w:trPr>
        <w:tc>
          <w:tcPr>
            <w:tcW w:w="885" w:type="dxa"/>
            <w:tcMar>
              <w:top w:w="15" w:type="dxa"/>
              <w:left w:w="15" w:type="dxa"/>
              <w:right w:w="15" w:type="dxa"/>
            </w:tcMar>
            <w:vAlign w:val="center"/>
          </w:tcPr>
          <w:p w14:paraId="7C93527C" w14:textId="77777777" w:rsidR="005746DA" w:rsidRDefault="005746DA" w:rsidP="00440E87">
            <w:pPr>
              <w:jc w:val="center"/>
              <w:rPr>
                <w:sz w:val="18"/>
                <w:szCs w:val="18"/>
              </w:rPr>
            </w:pPr>
            <w:r>
              <w:rPr>
                <w:sz w:val="18"/>
                <w:szCs w:val="18"/>
              </w:rPr>
              <w:t>4</w:t>
            </w:r>
            <w:r w:rsidRPr="7E2C218C">
              <w:rPr>
                <w:sz w:val="18"/>
                <w:szCs w:val="18"/>
              </w:rPr>
              <w:t>0ms</w:t>
            </w:r>
          </w:p>
        </w:tc>
        <w:tc>
          <w:tcPr>
            <w:tcW w:w="810" w:type="dxa"/>
            <w:tcMar>
              <w:top w:w="15" w:type="dxa"/>
              <w:left w:w="15" w:type="dxa"/>
              <w:right w:w="15" w:type="dxa"/>
            </w:tcMar>
            <w:vAlign w:val="center"/>
          </w:tcPr>
          <w:p w14:paraId="3AD05941" w14:textId="77777777" w:rsidR="005746DA" w:rsidRDefault="005746DA" w:rsidP="00440E87">
            <w:pPr>
              <w:jc w:val="center"/>
              <w:rPr>
                <w:sz w:val="18"/>
                <w:szCs w:val="18"/>
              </w:rPr>
            </w:pPr>
            <w:r w:rsidRPr="7E2C218C">
              <w:rPr>
                <w:sz w:val="18"/>
                <w:szCs w:val="18"/>
              </w:rPr>
              <w:t>C1</w:t>
            </w:r>
          </w:p>
        </w:tc>
        <w:tc>
          <w:tcPr>
            <w:tcW w:w="990" w:type="dxa"/>
            <w:tcMar>
              <w:top w:w="15" w:type="dxa"/>
              <w:left w:w="15" w:type="dxa"/>
              <w:right w:w="15" w:type="dxa"/>
            </w:tcMar>
            <w:vAlign w:val="center"/>
          </w:tcPr>
          <w:p w14:paraId="65FCF657" w14:textId="77777777" w:rsidR="005746DA" w:rsidRDefault="005746DA" w:rsidP="00440E87">
            <w:pPr>
              <w:jc w:val="center"/>
              <w:rPr>
                <w:sz w:val="18"/>
                <w:szCs w:val="18"/>
              </w:rPr>
            </w:pPr>
            <w:r w:rsidRPr="7E2C218C">
              <w:rPr>
                <w:sz w:val="18"/>
                <w:szCs w:val="18"/>
              </w:rPr>
              <w:t>B1</w:t>
            </w:r>
          </w:p>
        </w:tc>
        <w:tc>
          <w:tcPr>
            <w:tcW w:w="1170" w:type="dxa"/>
            <w:tcMar>
              <w:top w:w="15" w:type="dxa"/>
              <w:left w:w="15" w:type="dxa"/>
              <w:right w:w="15" w:type="dxa"/>
            </w:tcMar>
            <w:vAlign w:val="center"/>
          </w:tcPr>
          <w:p w14:paraId="34835EBE" w14:textId="77777777" w:rsidR="005746DA" w:rsidRPr="00FE61C2" w:rsidRDefault="005746DA" w:rsidP="00440E87">
            <w:pPr>
              <w:jc w:val="center"/>
              <w:rPr>
                <w:rFonts w:ascii="Calibri" w:eastAsia="Calibri" w:hAnsi="Calibri" w:cs="Calibri"/>
                <w:sz w:val="20"/>
                <w:szCs w:val="20"/>
              </w:rPr>
            </w:pPr>
            <w:r w:rsidRPr="00FE61C2">
              <w:rPr>
                <w:rFonts w:ascii="Calibri" w:eastAsia="Calibri" w:hAnsi="Calibri" w:cs="Calibri"/>
                <w:sz w:val="20"/>
                <w:szCs w:val="20"/>
              </w:rPr>
              <w:t>24%</w:t>
            </w:r>
          </w:p>
        </w:tc>
        <w:tc>
          <w:tcPr>
            <w:tcW w:w="3600" w:type="dxa"/>
            <w:vMerge/>
            <w:vAlign w:val="center"/>
          </w:tcPr>
          <w:p w14:paraId="22CD7584" w14:textId="01E175D4" w:rsidR="005746DA" w:rsidRDefault="005746DA" w:rsidP="00440E87">
            <w:pPr>
              <w:jc w:val="center"/>
              <w:rPr>
                <w:rFonts w:ascii="Calibri" w:eastAsia="Calibri" w:hAnsi="Calibri" w:cs="Calibri"/>
              </w:rPr>
            </w:pPr>
          </w:p>
        </w:tc>
      </w:tr>
      <w:tr w:rsidR="005746DA" w14:paraId="31CA0A4D" w14:textId="3B4AD5BD" w:rsidTr="00FE61C2">
        <w:trPr>
          <w:trHeight w:val="465"/>
          <w:jc w:val="center"/>
        </w:trPr>
        <w:tc>
          <w:tcPr>
            <w:tcW w:w="885" w:type="dxa"/>
            <w:tcMar>
              <w:top w:w="15" w:type="dxa"/>
              <w:left w:w="15" w:type="dxa"/>
              <w:right w:w="15" w:type="dxa"/>
            </w:tcMar>
            <w:vAlign w:val="center"/>
          </w:tcPr>
          <w:p w14:paraId="05BA8C20" w14:textId="77777777" w:rsidR="005746DA" w:rsidRPr="6E8C0192" w:rsidRDefault="005746DA" w:rsidP="00440E87">
            <w:pPr>
              <w:jc w:val="center"/>
              <w:rPr>
                <w:sz w:val="18"/>
                <w:szCs w:val="18"/>
              </w:rPr>
            </w:pPr>
            <w:r>
              <w:rPr>
                <w:sz w:val="18"/>
                <w:szCs w:val="18"/>
              </w:rPr>
              <w:t>4</w:t>
            </w:r>
            <w:r w:rsidRPr="6E8C0192">
              <w:rPr>
                <w:sz w:val="18"/>
                <w:szCs w:val="18"/>
              </w:rPr>
              <w:t>0ms</w:t>
            </w:r>
          </w:p>
        </w:tc>
        <w:tc>
          <w:tcPr>
            <w:tcW w:w="810" w:type="dxa"/>
            <w:tcMar>
              <w:top w:w="15" w:type="dxa"/>
              <w:left w:w="15" w:type="dxa"/>
              <w:right w:w="15" w:type="dxa"/>
            </w:tcMar>
            <w:vAlign w:val="center"/>
          </w:tcPr>
          <w:p w14:paraId="609E53D5" w14:textId="77777777" w:rsidR="005746DA" w:rsidRDefault="005746DA" w:rsidP="00440E87">
            <w:pPr>
              <w:jc w:val="center"/>
              <w:rPr>
                <w:sz w:val="18"/>
                <w:szCs w:val="18"/>
              </w:rPr>
            </w:pPr>
            <w:r w:rsidRPr="41FE51CD">
              <w:rPr>
                <w:sz w:val="18"/>
                <w:szCs w:val="18"/>
              </w:rPr>
              <w:t>C2</w:t>
            </w:r>
          </w:p>
        </w:tc>
        <w:tc>
          <w:tcPr>
            <w:tcW w:w="990" w:type="dxa"/>
            <w:tcMar>
              <w:top w:w="15" w:type="dxa"/>
              <w:left w:w="15" w:type="dxa"/>
              <w:right w:w="15" w:type="dxa"/>
            </w:tcMar>
            <w:vAlign w:val="center"/>
          </w:tcPr>
          <w:p w14:paraId="3502F2AA" w14:textId="77777777" w:rsidR="005746DA" w:rsidRDefault="005746DA" w:rsidP="00440E87">
            <w:pPr>
              <w:jc w:val="center"/>
              <w:rPr>
                <w:sz w:val="18"/>
                <w:szCs w:val="18"/>
              </w:rPr>
            </w:pPr>
            <w:r w:rsidRPr="7B47D5E2">
              <w:rPr>
                <w:sz w:val="18"/>
                <w:szCs w:val="18"/>
              </w:rPr>
              <w:t>A2-1</w:t>
            </w:r>
          </w:p>
        </w:tc>
        <w:tc>
          <w:tcPr>
            <w:tcW w:w="1170" w:type="dxa"/>
            <w:tcMar>
              <w:top w:w="15" w:type="dxa"/>
              <w:left w:w="15" w:type="dxa"/>
              <w:right w:w="15" w:type="dxa"/>
            </w:tcMar>
            <w:vAlign w:val="center"/>
          </w:tcPr>
          <w:p w14:paraId="4D2426E5" w14:textId="77777777" w:rsidR="005746DA" w:rsidRPr="00FE61C2" w:rsidRDefault="005746DA" w:rsidP="00440E87">
            <w:pPr>
              <w:jc w:val="center"/>
              <w:rPr>
                <w:rFonts w:ascii="Calibri" w:eastAsia="Calibri" w:hAnsi="Calibri" w:cs="Calibri"/>
                <w:sz w:val="20"/>
                <w:szCs w:val="20"/>
              </w:rPr>
            </w:pPr>
            <w:r w:rsidRPr="00FE61C2">
              <w:rPr>
                <w:rFonts w:ascii="Calibri" w:eastAsia="Calibri" w:hAnsi="Calibri" w:cs="Calibri"/>
                <w:sz w:val="20"/>
                <w:szCs w:val="20"/>
              </w:rPr>
              <w:t>-0.15%</w:t>
            </w:r>
          </w:p>
        </w:tc>
        <w:tc>
          <w:tcPr>
            <w:tcW w:w="3600" w:type="dxa"/>
            <w:vMerge/>
            <w:vAlign w:val="center"/>
          </w:tcPr>
          <w:p w14:paraId="40F68F4C" w14:textId="4CED4367" w:rsidR="005746DA" w:rsidRPr="000E77BF" w:rsidRDefault="005746DA" w:rsidP="00440E87">
            <w:pPr>
              <w:jc w:val="center"/>
              <w:rPr>
                <w:rFonts w:ascii="Calibri" w:eastAsia="Calibri" w:hAnsi="Calibri" w:cs="Calibri"/>
              </w:rPr>
            </w:pPr>
          </w:p>
        </w:tc>
      </w:tr>
      <w:tr w:rsidR="005746DA" w14:paraId="77703477" w14:textId="293183F8" w:rsidTr="00FE61C2">
        <w:trPr>
          <w:trHeight w:val="465"/>
          <w:jc w:val="center"/>
        </w:trPr>
        <w:tc>
          <w:tcPr>
            <w:tcW w:w="885" w:type="dxa"/>
            <w:tcMar>
              <w:top w:w="15" w:type="dxa"/>
              <w:left w:w="15" w:type="dxa"/>
              <w:right w:w="15" w:type="dxa"/>
            </w:tcMar>
            <w:vAlign w:val="center"/>
          </w:tcPr>
          <w:p w14:paraId="2EF9FE8C" w14:textId="77777777" w:rsidR="005746DA" w:rsidRPr="6E8C0192" w:rsidRDefault="005746DA" w:rsidP="00440E87">
            <w:pPr>
              <w:jc w:val="center"/>
              <w:rPr>
                <w:sz w:val="18"/>
                <w:szCs w:val="18"/>
              </w:rPr>
            </w:pPr>
            <w:r>
              <w:rPr>
                <w:sz w:val="18"/>
                <w:szCs w:val="18"/>
              </w:rPr>
              <w:t>4</w:t>
            </w:r>
            <w:r w:rsidRPr="6E8C0192">
              <w:rPr>
                <w:sz w:val="18"/>
                <w:szCs w:val="18"/>
              </w:rPr>
              <w:t>0ms</w:t>
            </w:r>
          </w:p>
        </w:tc>
        <w:tc>
          <w:tcPr>
            <w:tcW w:w="810" w:type="dxa"/>
            <w:tcMar>
              <w:top w:w="15" w:type="dxa"/>
              <w:left w:w="15" w:type="dxa"/>
              <w:right w:w="15" w:type="dxa"/>
            </w:tcMar>
            <w:vAlign w:val="center"/>
          </w:tcPr>
          <w:p w14:paraId="47A6FAC7" w14:textId="77777777" w:rsidR="005746DA" w:rsidRDefault="005746DA" w:rsidP="00440E87">
            <w:pPr>
              <w:jc w:val="center"/>
              <w:rPr>
                <w:sz w:val="18"/>
                <w:szCs w:val="18"/>
              </w:rPr>
            </w:pPr>
            <w:r w:rsidRPr="41FE51CD">
              <w:rPr>
                <w:sz w:val="18"/>
                <w:szCs w:val="18"/>
              </w:rPr>
              <w:t>C2</w:t>
            </w:r>
          </w:p>
        </w:tc>
        <w:tc>
          <w:tcPr>
            <w:tcW w:w="990" w:type="dxa"/>
            <w:tcMar>
              <w:top w:w="15" w:type="dxa"/>
              <w:left w:w="15" w:type="dxa"/>
              <w:right w:w="15" w:type="dxa"/>
            </w:tcMar>
            <w:vAlign w:val="center"/>
          </w:tcPr>
          <w:p w14:paraId="6BEF8DCA" w14:textId="77777777" w:rsidR="005746DA" w:rsidRDefault="005746DA" w:rsidP="00440E87">
            <w:pPr>
              <w:jc w:val="center"/>
              <w:rPr>
                <w:sz w:val="18"/>
                <w:szCs w:val="18"/>
              </w:rPr>
            </w:pPr>
            <w:r w:rsidRPr="3419C000">
              <w:rPr>
                <w:sz w:val="18"/>
                <w:szCs w:val="18"/>
              </w:rPr>
              <w:t>B2</w:t>
            </w:r>
          </w:p>
        </w:tc>
        <w:tc>
          <w:tcPr>
            <w:tcW w:w="1170" w:type="dxa"/>
            <w:tcMar>
              <w:top w:w="15" w:type="dxa"/>
              <w:left w:w="15" w:type="dxa"/>
              <w:right w:w="15" w:type="dxa"/>
            </w:tcMar>
            <w:vAlign w:val="center"/>
          </w:tcPr>
          <w:p w14:paraId="601F74FE" w14:textId="77777777" w:rsidR="005746DA" w:rsidRPr="00FE61C2" w:rsidRDefault="005746DA" w:rsidP="00440E87">
            <w:pPr>
              <w:jc w:val="center"/>
              <w:rPr>
                <w:rFonts w:ascii="Calibri" w:eastAsia="Calibri" w:hAnsi="Calibri" w:cs="Calibri"/>
                <w:sz w:val="20"/>
                <w:szCs w:val="20"/>
              </w:rPr>
            </w:pPr>
            <w:r w:rsidRPr="00FE61C2">
              <w:rPr>
                <w:rFonts w:ascii="Calibri" w:eastAsia="Calibri" w:hAnsi="Calibri" w:cs="Calibri"/>
                <w:sz w:val="20"/>
                <w:szCs w:val="20"/>
              </w:rPr>
              <w:t>0.15%</w:t>
            </w:r>
          </w:p>
        </w:tc>
        <w:tc>
          <w:tcPr>
            <w:tcW w:w="3600" w:type="dxa"/>
            <w:vMerge/>
            <w:vAlign w:val="center"/>
          </w:tcPr>
          <w:p w14:paraId="6BA0850D" w14:textId="453FAF8B" w:rsidR="005746DA" w:rsidRPr="000E77BF" w:rsidRDefault="005746DA" w:rsidP="00440E87">
            <w:pPr>
              <w:jc w:val="center"/>
              <w:rPr>
                <w:rFonts w:ascii="Calibri" w:eastAsia="Calibri" w:hAnsi="Calibri" w:cs="Calibri"/>
              </w:rPr>
            </w:pPr>
          </w:p>
        </w:tc>
      </w:tr>
      <w:tr w:rsidR="005746DA" w14:paraId="228E8475" w14:textId="0D523ECE" w:rsidTr="00FE61C2">
        <w:trPr>
          <w:trHeight w:val="465"/>
          <w:jc w:val="center"/>
        </w:trPr>
        <w:tc>
          <w:tcPr>
            <w:tcW w:w="8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vAlign w:val="center"/>
          </w:tcPr>
          <w:p w14:paraId="2699A222" w14:textId="77777777" w:rsidR="005746DA" w:rsidRPr="009E52F9" w:rsidRDefault="005746DA" w:rsidP="00440E87">
            <w:pPr>
              <w:jc w:val="center"/>
              <w:rPr>
                <w:sz w:val="18"/>
                <w:szCs w:val="18"/>
              </w:rPr>
            </w:pPr>
            <w:r w:rsidRPr="009E52F9">
              <w:rPr>
                <w:sz w:val="18"/>
                <w:szCs w:val="18"/>
              </w:rPr>
              <w:t>160ms</w:t>
            </w:r>
          </w:p>
        </w:tc>
        <w:tc>
          <w:tcPr>
            <w:tcW w:w="8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vAlign w:val="center"/>
          </w:tcPr>
          <w:p w14:paraId="6EEDB137" w14:textId="77777777" w:rsidR="005746DA" w:rsidRDefault="005746DA" w:rsidP="00440E87">
            <w:pPr>
              <w:jc w:val="center"/>
              <w:rPr>
                <w:sz w:val="18"/>
                <w:szCs w:val="18"/>
              </w:rPr>
            </w:pPr>
            <w:r w:rsidRPr="41FE51CD">
              <w:rPr>
                <w:sz w:val="18"/>
                <w:szCs w:val="18"/>
              </w:rPr>
              <w:t>C2</w:t>
            </w:r>
          </w:p>
        </w:tc>
        <w:tc>
          <w:tcPr>
            <w:tcW w:w="9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vAlign w:val="center"/>
          </w:tcPr>
          <w:p w14:paraId="2FB47408" w14:textId="77777777" w:rsidR="005746DA" w:rsidRDefault="005746DA" w:rsidP="00440E87">
            <w:pPr>
              <w:jc w:val="center"/>
              <w:rPr>
                <w:sz w:val="18"/>
                <w:szCs w:val="18"/>
              </w:rPr>
            </w:pPr>
            <w:r w:rsidRPr="7B47D5E2">
              <w:rPr>
                <w:sz w:val="18"/>
                <w:szCs w:val="18"/>
              </w:rPr>
              <w:t>A2-1</w:t>
            </w:r>
          </w:p>
        </w:tc>
        <w:tc>
          <w:tcPr>
            <w:tcW w:w="11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vAlign w:val="center"/>
          </w:tcPr>
          <w:p w14:paraId="38D423DC" w14:textId="77777777" w:rsidR="005746DA" w:rsidRPr="00FE61C2" w:rsidRDefault="005746DA" w:rsidP="00440E87">
            <w:pPr>
              <w:jc w:val="center"/>
              <w:rPr>
                <w:rFonts w:ascii="Calibri" w:eastAsia="Calibri" w:hAnsi="Calibri" w:cs="Calibri"/>
                <w:sz w:val="20"/>
                <w:szCs w:val="20"/>
              </w:rPr>
            </w:pPr>
            <w:r w:rsidRPr="00FE61C2">
              <w:rPr>
                <w:rFonts w:ascii="Calibri" w:eastAsia="Calibri" w:hAnsi="Calibri" w:cs="Calibri"/>
                <w:sz w:val="20"/>
                <w:szCs w:val="20"/>
              </w:rPr>
              <w:t>-0.18%</w:t>
            </w:r>
          </w:p>
        </w:tc>
        <w:tc>
          <w:tcPr>
            <w:tcW w:w="3600" w:type="dxa"/>
            <w:vMerge/>
            <w:vAlign w:val="center"/>
          </w:tcPr>
          <w:p w14:paraId="274020DB" w14:textId="69747C63" w:rsidR="005746DA" w:rsidRPr="000E77BF" w:rsidRDefault="005746DA" w:rsidP="00440E87">
            <w:pPr>
              <w:jc w:val="center"/>
              <w:rPr>
                <w:rFonts w:ascii="Calibri" w:eastAsia="Calibri" w:hAnsi="Calibri" w:cs="Calibri"/>
              </w:rPr>
            </w:pPr>
          </w:p>
        </w:tc>
      </w:tr>
      <w:tr w:rsidR="005746DA" w14:paraId="39D8C91F" w14:textId="6F57EC47" w:rsidTr="00FE61C2">
        <w:trPr>
          <w:trHeight w:val="465"/>
          <w:jc w:val="center"/>
        </w:trPr>
        <w:tc>
          <w:tcPr>
            <w:tcW w:w="8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vAlign w:val="center"/>
          </w:tcPr>
          <w:p w14:paraId="507C402A" w14:textId="77777777" w:rsidR="005746DA" w:rsidRPr="009E52F9" w:rsidRDefault="005746DA" w:rsidP="00440E87">
            <w:pPr>
              <w:jc w:val="center"/>
              <w:rPr>
                <w:sz w:val="18"/>
                <w:szCs w:val="18"/>
              </w:rPr>
            </w:pPr>
            <w:r w:rsidRPr="009E52F9">
              <w:rPr>
                <w:sz w:val="18"/>
                <w:szCs w:val="18"/>
              </w:rPr>
              <w:t>160ms</w:t>
            </w:r>
          </w:p>
        </w:tc>
        <w:tc>
          <w:tcPr>
            <w:tcW w:w="8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vAlign w:val="center"/>
          </w:tcPr>
          <w:p w14:paraId="49B665EC" w14:textId="77777777" w:rsidR="005746DA" w:rsidRDefault="005746DA" w:rsidP="00440E87">
            <w:pPr>
              <w:jc w:val="center"/>
              <w:rPr>
                <w:sz w:val="18"/>
                <w:szCs w:val="18"/>
              </w:rPr>
            </w:pPr>
            <w:r w:rsidRPr="41FE51CD">
              <w:rPr>
                <w:sz w:val="18"/>
                <w:szCs w:val="18"/>
              </w:rPr>
              <w:t>C2</w:t>
            </w:r>
          </w:p>
        </w:tc>
        <w:tc>
          <w:tcPr>
            <w:tcW w:w="9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vAlign w:val="center"/>
          </w:tcPr>
          <w:p w14:paraId="7570E054" w14:textId="77777777" w:rsidR="005746DA" w:rsidRDefault="005746DA" w:rsidP="00440E87">
            <w:pPr>
              <w:jc w:val="center"/>
              <w:rPr>
                <w:sz w:val="18"/>
                <w:szCs w:val="18"/>
              </w:rPr>
            </w:pPr>
            <w:r w:rsidRPr="3419C000">
              <w:rPr>
                <w:sz w:val="18"/>
                <w:szCs w:val="18"/>
              </w:rPr>
              <w:t>B2</w:t>
            </w:r>
          </w:p>
        </w:tc>
        <w:tc>
          <w:tcPr>
            <w:tcW w:w="11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vAlign w:val="center"/>
          </w:tcPr>
          <w:p w14:paraId="065AEF4E" w14:textId="77777777" w:rsidR="005746DA" w:rsidRPr="00FE61C2" w:rsidRDefault="005746DA" w:rsidP="00440E87">
            <w:pPr>
              <w:jc w:val="center"/>
              <w:rPr>
                <w:rFonts w:ascii="Calibri" w:eastAsia="Calibri" w:hAnsi="Calibri" w:cs="Calibri"/>
                <w:sz w:val="20"/>
                <w:szCs w:val="20"/>
              </w:rPr>
            </w:pPr>
            <w:r w:rsidRPr="00FE61C2">
              <w:rPr>
                <w:rFonts w:ascii="Calibri" w:eastAsia="Calibri" w:hAnsi="Calibri" w:cs="Calibri"/>
                <w:sz w:val="20"/>
                <w:szCs w:val="20"/>
              </w:rPr>
              <w:t>0.18%</w:t>
            </w:r>
          </w:p>
        </w:tc>
        <w:tc>
          <w:tcPr>
            <w:tcW w:w="3600" w:type="dxa"/>
            <w:vMerge/>
            <w:tcBorders>
              <w:bottom w:val="single" w:sz="12" w:space="0" w:color="000000" w:themeColor="text1"/>
            </w:tcBorders>
            <w:vAlign w:val="center"/>
          </w:tcPr>
          <w:p w14:paraId="1B104014" w14:textId="642C51DB" w:rsidR="005746DA" w:rsidRPr="000E77BF" w:rsidRDefault="005746DA" w:rsidP="00440E87">
            <w:pPr>
              <w:jc w:val="center"/>
              <w:rPr>
                <w:rFonts w:ascii="Calibri" w:eastAsia="Calibri" w:hAnsi="Calibri" w:cs="Calibri"/>
              </w:rPr>
            </w:pPr>
          </w:p>
        </w:tc>
      </w:tr>
    </w:tbl>
    <w:p w14:paraId="4CA87963" w14:textId="77777777" w:rsidR="00233A21" w:rsidRDefault="00233A21" w:rsidP="00233A21"/>
    <w:p w14:paraId="7645A912" w14:textId="77777777" w:rsidR="00233A21" w:rsidRDefault="00233A21" w:rsidP="00233A21">
      <w:pPr>
        <w:pStyle w:val="Observation"/>
        <w:numPr>
          <w:ilvl w:val="0"/>
          <w:numId w:val="0"/>
        </w:numPr>
        <w:rPr>
          <w:rFonts w:cs="Arial"/>
          <w:lang w:val="en-CA"/>
        </w:rPr>
      </w:pPr>
    </w:p>
    <w:p w14:paraId="29F72037" w14:textId="77777777" w:rsidR="00D00F92" w:rsidRPr="005522FC" w:rsidRDefault="00D00F92" w:rsidP="00D00F92">
      <w:pPr>
        <w:pStyle w:val="Observation"/>
        <w:numPr>
          <w:ilvl w:val="0"/>
          <w:numId w:val="3"/>
        </w:numPr>
        <w:ind w:left="1560" w:hanging="1560"/>
      </w:pPr>
      <w:bookmarkStart w:id="72" w:name="_Toc163213175"/>
      <w:bookmarkStart w:id="73" w:name="_Toc166252129"/>
      <w:r>
        <w:t xml:space="preserve">Non-uniform PRACH to SSB mapping can provide following NES gains over legacy PRACH to SSB mapping </w:t>
      </w:r>
      <w:r w:rsidRPr="005522FC">
        <w:t>for eight beam case</w:t>
      </w:r>
      <w:r>
        <w:t>.</w:t>
      </w:r>
      <w:bookmarkEnd w:id="72"/>
      <w:bookmarkEnd w:id="73"/>
    </w:p>
    <w:p w14:paraId="6BC932FB" w14:textId="7E86D5F6" w:rsidR="00D00F92" w:rsidRDefault="00D00F92" w:rsidP="00535F42">
      <w:pPr>
        <w:pStyle w:val="Observation"/>
        <w:numPr>
          <w:ilvl w:val="1"/>
          <w:numId w:val="3"/>
        </w:numPr>
      </w:pPr>
      <w:bookmarkStart w:id="74" w:name="_Toc163213176"/>
      <w:bookmarkStart w:id="75" w:name="_Toc166252130"/>
      <w:r>
        <w:t>24</w:t>
      </w:r>
      <w:r w:rsidRPr="00E21567">
        <w:t xml:space="preserve">% </w:t>
      </w:r>
      <w:r>
        <w:t>when the effective RACH resources in time-domain are reduced by 50%</w:t>
      </w:r>
      <w:bookmarkEnd w:id="74"/>
      <w:r>
        <w:t xml:space="preserve"> (</w:t>
      </w:r>
      <w:r w:rsidR="003900A1">
        <w:t xml:space="preserve">i.e. </w:t>
      </w:r>
      <w:r>
        <w:t>for Case C1 vs B1/A1-2)</w:t>
      </w:r>
      <w:bookmarkEnd w:id="75"/>
    </w:p>
    <w:p w14:paraId="623B8209" w14:textId="1B606661" w:rsidR="00D00F92" w:rsidRDefault="003900A1" w:rsidP="00D00F92">
      <w:pPr>
        <w:pStyle w:val="Observation"/>
        <w:numPr>
          <w:ilvl w:val="1"/>
          <w:numId w:val="3"/>
        </w:numPr>
      </w:pPr>
      <w:bookmarkStart w:id="76" w:name="_Toc163213178"/>
      <w:bookmarkStart w:id="77" w:name="_Toc166252131"/>
      <w:r>
        <w:t xml:space="preserve">Less than </w:t>
      </w:r>
      <w:r w:rsidR="00535F42">
        <w:t>0.2</w:t>
      </w:r>
      <w:r w:rsidR="00D00F92" w:rsidRPr="00E21567">
        <w:t xml:space="preserve">% </w:t>
      </w:r>
      <w:bookmarkEnd w:id="76"/>
      <w:r w:rsidR="00535F42">
        <w:t>when the effective RACH resources in time-domain are not reduced (</w:t>
      </w:r>
      <w:r>
        <w:t xml:space="preserve">i.e. </w:t>
      </w:r>
      <w:r w:rsidR="00535F42">
        <w:t>for Case C2 vs B2/A2-1)</w:t>
      </w:r>
      <w:bookmarkEnd w:id="77"/>
    </w:p>
    <w:p w14:paraId="1FF87C9F" w14:textId="77777777" w:rsidR="00D00F92" w:rsidRDefault="00D00F92" w:rsidP="00D00F92">
      <w:pPr>
        <w:pStyle w:val="Observation"/>
        <w:numPr>
          <w:ilvl w:val="1"/>
          <w:numId w:val="3"/>
        </w:numPr>
      </w:pPr>
      <w:bookmarkStart w:id="78" w:name="_Toc163213179"/>
      <w:bookmarkStart w:id="79" w:name="_Toc166252132"/>
      <w:r>
        <w:t>Note: Most of the g</w:t>
      </w:r>
      <w:r w:rsidRPr="003A7F83">
        <w:t xml:space="preserve">ains </w:t>
      </w:r>
      <w:r>
        <w:t xml:space="preserve">are achieved by </w:t>
      </w:r>
      <w:r w:rsidRPr="003A7F83">
        <w:t xml:space="preserve">reducing </w:t>
      </w:r>
      <w:r>
        <w:t xml:space="preserve">overall </w:t>
      </w:r>
      <w:r w:rsidRPr="003A7F83">
        <w:t>RACH resources in time-domain</w:t>
      </w:r>
      <w:r>
        <w:t>.</w:t>
      </w:r>
      <w:bookmarkEnd w:id="78"/>
      <w:bookmarkEnd w:id="79"/>
    </w:p>
    <w:p w14:paraId="6D551ACC" w14:textId="6C6869F6" w:rsidR="00233A21" w:rsidRPr="000E77BF" w:rsidRDefault="00233A21" w:rsidP="00233A21">
      <w:pPr>
        <w:tabs>
          <w:tab w:val="left" w:pos="1701"/>
        </w:tabs>
        <w:spacing w:after="120" w:line="256" w:lineRule="auto"/>
        <w:jc w:val="both"/>
        <w:rPr>
          <w:rFonts w:ascii="Arial" w:hAnsi="Arial" w:cs="Arial"/>
          <w:lang w:val="en-GB"/>
        </w:rPr>
      </w:pPr>
      <w:r w:rsidRPr="000E77BF">
        <w:rPr>
          <w:rFonts w:ascii="Arial" w:hAnsi="Arial" w:cs="Arial"/>
          <w:lang w:val="en-GB"/>
        </w:rPr>
        <w:t>A</w:t>
      </w:r>
      <w:r>
        <w:rPr>
          <w:rFonts w:ascii="Arial" w:hAnsi="Arial" w:cs="Arial"/>
          <w:lang w:val="en-GB"/>
        </w:rPr>
        <w:t xml:space="preserve"> timeline of A1-1/B1/C1 is provided along with energy consumption evaluations in </w:t>
      </w:r>
      <w:r w:rsidR="00170133">
        <w:rPr>
          <w:rFonts w:ascii="Arial" w:hAnsi="Arial" w:cs="Arial"/>
          <w:lang w:val="en-GB"/>
        </w:rPr>
        <w:t>below figures</w:t>
      </w:r>
      <w:r>
        <w:rPr>
          <w:rFonts w:ascii="Arial" w:hAnsi="Arial" w:cs="Arial"/>
          <w:lang w:val="en-GB"/>
        </w:rPr>
        <w:t xml:space="preserve">. </w:t>
      </w:r>
      <w:r w:rsidR="006D6828">
        <w:rPr>
          <w:rFonts w:ascii="Arial" w:hAnsi="Arial" w:cs="Arial"/>
          <w:lang w:val="en-GB"/>
        </w:rPr>
        <w:t xml:space="preserve">The figure illustrates that C1 yields additional NES gains because of extra light sleep opportunities. </w:t>
      </w:r>
    </w:p>
    <w:p w14:paraId="561B6016" w14:textId="77777777" w:rsidR="00170133" w:rsidRDefault="00233A21" w:rsidP="00170133">
      <w:pPr>
        <w:keepNext/>
        <w:tabs>
          <w:tab w:val="left" w:pos="1701"/>
        </w:tabs>
        <w:spacing w:after="120" w:line="256" w:lineRule="auto"/>
        <w:jc w:val="both"/>
      </w:pPr>
      <w:r>
        <w:rPr>
          <w:rFonts w:ascii="Arial" w:hAnsi="Arial" w:cs="Arial"/>
          <w:b/>
          <w:bCs/>
          <w:noProof/>
          <w:lang w:val="en-CA"/>
        </w:rPr>
        <w:drawing>
          <wp:inline distT="0" distB="0" distL="0" distR="0" wp14:anchorId="4814E1D6" wp14:editId="3D4A625C">
            <wp:extent cx="5990794" cy="45085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a:stretch/>
                  </pic:blipFill>
                  <pic:spPr bwMode="auto">
                    <a:xfrm>
                      <a:off x="0" y="0"/>
                      <a:ext cx="6003281" cy="4517897"/>
                    </a:xfrm>
                    <a:prstGeom prst="rect">
                      <a:avLst/>
                    </a:prstGeom>
                    <a:noFill/>
                    <a:ln>
                      <a:noFill/>
                    </a:ln>
                    <a:extLst>
                      <a:ext uri="{53640926-AAD7-44D8-BBD7-CCE9431645EC}">
                        <a14:shadowObscured xmlns:a14="http://schemas.microsoft.com/office/drawing/2010/main"/>
                      </a:ext>
                    </a:extLst>
                  </pic:spPr>
                </pic:pic>
              </a:graphicData>
            </a:graphic>
          </wp:inline>
        </w:drawing>
      </w:r>
    </w:p>
    <w:p w14:paraId="03CD208A" w14:textId="0F4B4D42" w:rsidR="00233A21" w:rsidRDefault="00170133" w:rsidP="00905141">
      <w:pPr>
        <w:pStyle w:val="Caption"/>
        <w:jc w:val="center"/>
        <w:rPr>
          <w:rFonts w:ascii="Arial" w:hAnsi="Arial" w:cs="Arial"/>
          <w:b/>
          <w:bCs/>
          <w:lang w:val="en-GB"/>
        </w:rPr>
      </w:pPr>
      <w:r>
        <w:t xml:space="preserve">Figure </w:t>
      </w:r>
      <w:fldSimple w:instr=" SEQ Figure \* ARABIC ">
        <w:r>
          <w:rPr>
            <w:noProof/>
          </w:rPr>
          <w:t>10</w:t>
        </w:r>
      </w:fldSimple>
      <w:r w:rsidR="00233A21">
        <w:t xml:space="preserve">: Timeline </w:t>
      </w:r>
      <w:r w:rsidR="00233A21">
        <w:rPr>
          <w:rFonts w:ascii="Arial" w:hAnsi="Arial" w:cs="Arial"/>
          <w:lang w:val="en-GB"/>
        </w:rPr>
        <w:t>of A1-1/B1/C1 where SIB1 is every 40ms.</w:t>
      </w:r>
    </w:p>
    <w:p w14:paraId="6F6607E6" w14:textId="77777777" w:rsidR="00233A21" w:rsidRDefault="00233A21" w:rsidP="00233A21">
      <w:pPr>
        <w:tabs>
          <w:tab w:val="left" w:pos="1701"/>
        </w:tabs>
        <w:spacing w:after="120" w:line="256" w:lineRule="auto"/>
        <w:jc w:val="both"/>
        <w:rPr>
          <w:rFonts w:ascii="Arial" w:hAnsi="Arial" w:cs="Arial"/>
          <w:b/>
          <w:bCs/>
          <w:lang w:val="en-GB"/>
        </w:rPr>
      </w:pPr>
    </w:p>
    <w:p w14:paraId="30F5D2E9" w14:textId="77777777" w:rsidR="00170133" w:rsidRDefault="00233A21" w:rsidP="00170133">
      <w:pPr>
        <w:pStyle w:val="Caption"/>
        <w:keepNext/>
        <w:jc w:val="center"/>
      </w:pPr>
      <w:r>
        <w:rPr>
          <w:rFonts w:ascii="Arial" w:hAnsi="Arial" w:cs="Arial"/>
          <w:b/>
          <w:bCs/>
          <w:noProof/>
          <w:lang w:val="en-GB"/>
        </w:rPr>
        <w:drawing>
          <wp:inline distT="0" distB="0" distL="0" distR="0" wp14:anchorId="04378C11" wp14:editId="773B697A">
            <wp:extent cx="5924550" cy="35092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a:stretch/>
                  </pic:blipFill>
                  <pic:spPr bwMode="auto">
                    <a:xfrm>
                      <a:off x="0" y="0"/>
                      <a:ext cx="5952148" cy="3525587"/>
                    </a:xfrm>
                    <a:prstGeom prst="rect">
                      <a:avLst/>
                    </a:prstGeom>
                    <a:noFill/>
                    <a:ln>
                      <a:noFill/>
                    </a:ln>
                    <a:extLst>
                      <a:ext uri="{53640926-AAD7-44D8-BBD7-CCE9431645EC}">
                        <a14:shadowObscured xmlns:a14="http://schemas.microsoft.com/office/drawing/2010/main"/>
                      </a:ext>
                    </a:extLst>
                  </pic:spPr>
                </pic:pic>
              </a:graphicData>
            </a:graphic>
          </wp:inline>
        </w:drawing>
      </w:r>
    </w:p>
    <w:p w14:paraId="384A047B" w14:textId="3AECBA9C" w:rsidR="00233A21" w:rsidRDefault="00170133" w:rsidP="00170133">
      <w:pPr>
        <w:pStyle w:val="Caption"/>
        <w:jc w:val="center"/>
        <w:rPr>
          <w:rFonts w:ascii="Arial" w:hAnsi="Arial" w:cs="Arial"/>
          <w:b/>
          <w:bCs/>
          <w:lang w:val="en-GB"/>
        </w:rPr>
      </w:pPr>
      <w:r>
        <w:t xml:space="preserve">Figure </w:t>
      </w:r>
      <w:fldSimple w:instr=" SEQ Figure \* ARABIC ">
        <w:r>
          <w:rPr>
            <w:noProof/>
          </w:rPr>
          <w:t>11</w:t>
        </w:r>
      </w:fldSimple>
      <w:r>
        <w:t xml:space="preserve">: </w:t>
      </w:r>
      <w:r w:rsidR="00233A21">
        <w:t xml:space="preserve">Timeline </w:t>
      </w:r>
      <w:r w:rsidR="00233A21">
        <w:rPr>
          <w:rFonts w:ascii="Arial" w:hAnsi="Arial" w:cs="Arial"/>
          <w:lang w:val="en-GB"/>
        </w:rPr>
        <w:t>of A1-1/B1/C1 where SIB1 is every 40ms.</w:t>
      </w:r>
    </w:p>
    <w:p w14:paraId="2E42FA6F" w14:textId="2A419FDF" w:rsidR="00233A21" w:rsidRDefault="00E15EFC" w:rsidP="0059677F">
      <w:pPr>
        <w:jc w:val="both"/>
        <w:rPr>
          <w:rFonts w:ascii="Arial" w:hAnsi="Arial" w:cs="Arial"/>
          <w:lang w:val="en-GB"/>
        </w:rPr>
      </w:pPr>
      <w:r>
        <w:rPr>
          <w:rFonts w:ascii="Arial" w:hAnsi="Arial" w:cs="Arial"/>
          <w:lang w:val="en-GB"/>
        </w:rPr>
        <w:t>Based on the above results and analysis, we propose the following:</w:t>
      </w:r>
    </w:p>
    <w:p w14:paraId="4AF9FA02" w14:textId="77777777" w:rsidR="00E15EFC" w:rsidRDefault="00E15EFC" w:rsidP="0059677F">
      <w:pPr>
        <w:jc w:val="both"/>
        <w:rPr>
          <w:rFonts w:ascii="Arial" w:hAnsi="Arial" w:cs="Arial"/>
          <w:lang w:val="en-GB"/>
        </w:rPr>
      </w:pPr>
    </w:p>
    <w:p w14:paraId="1A6C2470" w14:textId="77777777" w:rsidR="00E15EFC" w:rsidRPr="004B3167" w:rsidRDefault="00E15EFC" w:rsidP="00E15EFC">
      <w:pPr>
        <w:pStyle w:val="Proposal"/>
        <w:numPr>
          <w:ilvl w:val="0"/>
          <w:numId w:val="4"/>
        </w:numPr>
        <w:rPr>
          <w:rFonts w:cs="Arial"/>
          <w:lang w:val="en-CA"/>
        </w:rPr>
      </w:pPr>
      <w:bookmarkStart w:id="80" w:name="_Toc163213199"/>
      <w:bookmarkStart w:id="81" w:name="_Toc166252159"/>
      <w:r>
        <w:rPr>
          <w:rFonts w:cs="Arial"/>
          <w:lang w:val="en-CA"/>
        </w:rPr>
        <w:t>Support non-uniform PRACH resource to SSB mapping based on the following:</w:t>
      </w:r>
      <w:bookmarkEnd w:id="80"/>
      <w:bookmarkEnd w:id="81"/>
    </w:p>
    <w:p w14:paraId="41BE96E8" w14:textId="77777777" w:rsidR="00E15EFC" w:rsidRPr="004B3167" w:rsidRDefault="00E15EFC" w:rsidP="00E15EFC">
      <w:pPr>
        <w:pStyle w:val="Proposal"/>
        <w:numPr>
          <w:ilvl w:val="1"/>
          <w:numId w:val="4"/>
        </w:numPr>
        <w:rPr>
          <w:rFonts w:cs="Arial"/>
          <w:lang w:val="en-GB"/>
        </w:rPr>
      </w:pPr>
      <w:bookmarkStart w:id="82" w:name="_Toc163213200"/>
      <w:bookmarkStart w:id="83" w:name="_Toc166252160"/>
      <w:r w:rsidRPr="004B3167">
        <w:rPr>
          <w:rFonts w:cs="Arial"/>
          <w:lang w:val="en-GB"/>
        </w:rPr>
        <w:t xml:space="preserve">The configuration of additional PRACH resources for Rel-19 UEs should also facilitate mapping the </w:t>
      </w:r>
      <w:r>
        <w:rPr>
          <w:rFonts w:cs="Arial"/>
          <w:lang w:val="en-GB"/>
        </w:rPr>
        <w:t xml:space="preserve">additional </w:t>
      </w:r>
      <w:r w:rsidRPr="004B3167">
        <w:rPr>
          <w:rFonts w:cs="Arial"/>
          <w:lang w:val="en-GB"/>
        </w:rPr>
        <w:t>PRACH resources to a subset of SSBs.</w:t>
      </w:r>
      <w:bookmarkEnd w:id="82"/>
      <w:bookmarkEnd w:id="83"/>
      <w:r w:rsidRPr="004B3167">
        <w:rPr>
          <w:rFonts w:cs="Arial"/>
          <w:lang w:val="en-GB"/>
        </w:rPr>
        <w:t xml:space="preserve"> </w:t>
      </w:r>
    </w:p>
    <w:p w14:paraId="681A8908" w14:textId="77777777" w:rsidR="0059677F" w:rsidRPr="0053596B" w:rsidRDefault="0059677F" w:rsidP="0059677F">
      <w:pPr>
        <w:pStyle w:val="Proposal"/>
        <w:numPr>
          <w:ilvl w:val="0"/>
          <w:numId w:val="0"/>
        </w:numPr>
        <w:rPr>
          <w:rFonts w:cs="Arial"/>
          <w:lang w:val="en-CA"/>
        </w:rPr>
      </w:pPr>
    </w:p>
    <w:p w14:paraId="5D07F389" w14:textId="77777777" w:rsidR="0059677F" w:rsidRPr="00FC4B6F" w:rsidRDefault="0059677F" w:rsidP="007F4A00">
      <w:pPr>
        <w:pStyle w:val="Heading2"/>
        <w:jc w:val="both"/>
        <w:rPr>
          <w:rFonts w:ascii="Arial" w:hAnsi="Arial" w:cs="Arial"/>
          <w:b/>
          <w:bCs/>
          <w:color w:val="auto"/>
          <w:lang w:val="en-GB"/>
        </w:rPr>
      </w:pPr>
      <w:r w:rsidRPr="00FC4B6F">
        <w:rPr>
          <w:rFonts w:ascii="Arial" w:hAnsi="Arial" w:cs="Arial"/>
          <w:b/>
          <w:bCs/>
          <w:color w:val="auto"/>
          <w:lang w:val="en-GB"/>
        </w:rPr>
        <w:t xml:space="preserve">Adaptation of Paging </w:t>
      </w:r>
    </w:p>
    <w:p w14:paraId="1516C3BC" w14:textId="24E4C348" w:rsidR="0059677F" w:rsidRPr="00FC4B6F" w:rsidRDefault="0059677F" w:rsidP="0059677F">
      <w:pPr>
        <w:spacing w:beforeLines="100" w:before="240" w:afterLines="100" w:after="240"/>
        <w:jc w:val="both"/>
        <w:rPr>
          <w:rFonts w:ascii="Arial" w:hAnsi="Arial" w:cs="Arial"/>
          <w:lang w:val="en-GB"/>
        </w:rPr>
      </w:pPr>
      <w:r w:rsidRPr="00FC4B6F">
        <w:rPr>
          <w:rFonts w:ascii="Arial" w:hAnsi="Arial" w:cs="Arial"/>
          <w:lang w:val="en-GB"/>
        </w:rPr>
        <w:t xml:space="preserve">Below was agreed in last meeting. </w:t>
      </w:r>
    </w:p>
    <w:p w14:paraId="255FCB88" w14:textId="77777777" w:rsidR="0059677F" w:rsidRPr="000510F9" w:rsidRDefault="0059677F" w:rsidP="0059677F">
      <w:pPr>
        <w:ind w:left="576"/>
      </w:pPr>
      <w:r w:rsidRPr="000510F9">
        <w:rPr>
          <w:rFonts w:ascii="Times" w:eastAsia="Batang" w:hAnsi="Times"/>
          <w:b/>
          <w:bCs/>
          <w:sz w:val="20"/>
          <w:szCs w:val="20"/>
          <w:highlight w:val="green"/>
          <w:lang w:val="en-GB"/>
        </w:rPr>
        <w:t>Agreement</w:t>
      </w:r>
    </w:p>
    <w:p w14:paraId="670FD7C7" w14:textId="77777777" w:rsidR="0059677F" w:rsidRPr="000510F9" w:rsidRDefault="0059677F" w:rsidP="0059677F">
      <w:pPr>
        <w:spacing w:after="120"/>
        <w:ind w:left="576"/>
        <w:jc w:val="both"/>
      </w:pPr>
      <w:r w:rsidRPr="000510F9">
        <w:rPr>
          <w:rFonts w:eastAsia="Batang"/>
          <w:sz w:val="20"/>
          <w:szCs w:val="20"/>
          <w:lang w:val="en-GB"/>
        </w:rPr>
        <w:t xml:space="preserve">For adaptation of paging, </w:t>
      </w:r>
    </w:p>
    <w:p w14:paraId="65D5D00C" w14:textId="77777777" w:rsidR="0059677F" w:rsidRPr="000510F9" w:rsidRDefault="0059677F" w:rsidP="0059677F">
      <w:pPr>
        <w:numPr>
          <w:ilvl w:val="0"/>
          <w:numId w:val="11"/>
        </w:numPr>
        <w:tabs>
          <w:tab w:val="clear" w:pos="720"/>
          <w:tab w:val="num" w:pos="1296"/>
        </w:tabs>
        <w:spacing w:after="120"/>
        <w:ind w:left="1843"/>
        <w:contextualSpacing/>
        <w:rPr>
          <w:sz w:val="20"/>
        </w:rPr>
      </w:pPr>
      <w:r w:rsidRPr="000510F9">
        <w:rPr>
          <w:rFonts w:eastAsia="Batang"/>
          <w:sz w:val="20"/>
          <w:szCs w:val="20"/>
          <w:lang w:val="en-GB"/>
        </w:rPr>
        <w:t>Study further from RAN1 perspective, techniques for adaptation of paging occasions in time-domain and achievable network energy savings</w:t>
      </w:r>
    </w:p>
    <w:p w14:paraId="569B45A2" w14:textId="77777777" w:rsidR="0059677F" w:rsidRPr="000510F9" w:rsidRDefault="0059677F" w:rsidP="0059677F">
      <w:pPr>
        <w:numPr>
          <w:ilvl w:val="0"/>
          <w:numId w:val="11"/>
        </w:numPr>
        <w:tabs>
          <w:tab w:val="clear" w:pos="720"/>
          <w:tab w:val="num" w:pos="1296"/>
        </w:tabs>
        <w:spacing w:after="120"/>
        <w:ind w:left="1843"/>
        <w:contextualSpacing/>
        <w:rPr>
          <w:sz w:val="20"/>
        </w:rPr>
      </w:pPr>
      <w:r w:rsidRPr="000510F9">
        <w:rPr>
          <w:rFonts w:eastAsia="Batang"/>
          <w:sz w:val="20"/>
          <w:szCs w:val="20"/>
          <w:lang w:val="en-GB"/>
        </w:rPr>
        <w:t>Note: Specification details for PO/PF determination and paging-related configuration/procedures to be handled by RAN2</w:t>
      </w:r>
    </w:p>
    <w:p w14:paraId="1DCB398F" w14:textId="77777777" w:rsidR="0059677F" w:rsidRPr="000510F9" w:rsidRDefault="0059677F" w:rsidP="0059677F"/>
    <w:p w14:paraId="186BF765" w14:textId="77777777" w:rsidR="0059677F" w:rsidRDefault="0059677F" w:rsidP="0059677F">
      <w:pPr>
        <w:spacing w:beforeLines="100" w:before="240" w:afterLines="100" w:after="240"/>
        <w:jc w:val="both"/>
        <w:rPr>
          <w:rFonts w:ascii="Arial" w:hAnsi="Arial" w:cs="Arial"/>
          <w:lang w:val="en-GB"/>
        </w:rPr>
      </w:pPr>
      <w:r w:rsidRPr="00F92E22">
        <w:rPr>
          <w:rFonts w:ascii="Arial" w:hAnsi="Arial" w:cs="Arial"/>
          <w:lang w:val="en-GB"/>
        </w:rPr>
        <w:t xml:space="preserve">In current NR, the paging </w:t>
      </w:r>
      <w:r>
        <w:rPr>
          <w:rFonts w:ascii="Arial" w:hAnsi="Arial" w:cs="Arial"/>
          <w:lang w:val="en-GB"/>
        </w:rPr>
        <w:t xml:space="preserve">occasions are uniformly spread in time domain. Depending on paging load, especially in scenarios where </w:t>
      </w:r>
      <w:r w:rsidRPr="00F92E22">
        <w:rPr>
          <w:rFonts w:ascii="Arial" w:hAnsi="Arial" w:cs="Arial"/>
          <w:lang w:val="en-GB"/>
        </w:rPr>
        <w:t xml:space="preserve">paging message </w:t>
      </w:r>
      <w:r>
        <w:rPr>
          <w:rFonts w:ascii="Arial" w:hAnsi="Arial" w:cs="Arial"/>
          <w:lang w:val="en-GB"/>
        </w:rPr>
        <w:t>are escalated and transmitted</w:t>
      </w:r>
      <w:r w:rsidRPr="00F92E22">
        <w:rPr>
          <w:rFonts w:ascii="Arial" w:hAnsi="Arial" w:cs="Arial"/>
          <w:lang w:val="en-GB"/>
        </w:rPr>
        <w:t xml:space="preserve"> in </w:t>
      </w:r>
      <w:r>
        <w:rPr>
          <w:rFonts w:ascii="Arial" w:hAnsi="Arial" w:cs="Arial"/>
          <w:lang w:val="en-GB"/>
        </w:rPr>
        <w:t>multiple</w:t>
      </w:r>
      <w:r w:rsidRPr="00F92E22">
        <w:rPr>
          <w:rFonts w:ascii="Arial" w:hAnsi="Arial" w:cs="Arial"/>
          <w:lang w:val="en-GB"/>
        </w:rPr>
        <w:t xml:space="preserve"> cells of the </w:t>
      </w:r>
      <w:r>
        <w:rPr>
          <w:rFonts w:ascii="Arial" w:hAnsi="Arial" w:cs="Arial"/>
          <w:lang w:val="en-GB"/>
        </w:rPr>
        <w:t>registration</w:t>
      </w:r>
      <w:r w:rsidRPr="00F92E22">
        <w:rPr>
          <w:rFonts w:ascii="Arial" w:hAnsi="Arial" w:cs="Arial"/>
          <w:lang w:val="en-GB"/>
        </w:rPr>
        <w:t xml:space="preserve"> area of the UEs</w:t>
      </w:r>
      <w:r>
        <w:rPr>
          <w:rFonts w:ascii="Arial" w:hAnsi="Arial" w:cs="Arial"/>
          <w:lang w:val="en-GB"/>
        </w:rPr>
        <w:t>,</w:t>
      </w:r>
      <w:r w:rsidRPr="00F92E22">
        <w:rPr>
          <w:rFonts w:ascii="Arial" w:hAnsi="Arial" w:cs="Arial"/>
          <w:lang w:val="en-GB"/>
        </w:rPr>
        <w:t xml:space="preserve"> the gNBs would not have the opportunity for deeper sleep states. </w:t>
      </w:r>
      <w:r>
        <w:rPr>
          <w:rFonts w:ascii="Arial" w:hAnsi="Arial" w:cs="Arial"/>
          <w:lang w:val="en-GB"/>
        </w:rPr>
        <w:t xml:space="preserve"> To obtain more power saving gain, gNBs need longer consecutive sleeping chance, which becomes possible by condensing PO/PF. In order to cope with legacy UEs, we think that these POs can be configured for Rel-19 UEs on top of a set of legacy POs that are configured sparsely in time (e.g., per 160ms). See below figure, for an example, </w:t>
      </w:r>
    </w:p>
    <w:p w14:paraId="00FEAC5F" w14:textId="77777777" w:rsidR="0059677F" w:rsidRDefault="0059677F" w:rsidP="0059677F">
      <w:pPr>
        <w:keepNext/>
        <w:spacing w:beforeLines="100" w:before="240" w:afterLines="100" w:after="240"/>
        <w:jc w:val="both"/>
      </w:pPr>
      <w:r>
        <w:rPr>
          <w:rFonts w:ascii="Arial" w:hAnsi="Arial" w:cs="Arial"/>
          <w:noProof/>
        </w:rPr>
        <w:drawing>
          <wp:inline distT="0" distB="0" distL="0" distR="0" wp14:anchorId="6031E943" wp14:editId="75CE9397">
            <wp:extent cx="5057140" cy="18573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57140" cy="1857375"/>
                    </a:xfrm>
                    <a:prstGeom prst="rect">
                      <a:avLst/>
                    </a:prstGeom>
                    <a:noFill/>
                  </pic:spPr>
                </pic:pic>
              </a:graphicData>
            </a:graphic>
          </wp:inline>
        </w:drawing>
      </w:r>
    </w:p>
    <w:p w14:paraId="45276159" w14:textId="5F291A4E" w:rsidR="0059677F" w:rsidRPr="006D727D" w:rsidRDefault="0059677F" w:rsidP="0059677F">
      <w:pPr>
        <w:pStyle w:val="Caption"/>
        <w:jc w:val="center"/>
      </w:pPr>
      <w:r>
        <w:t xml:space="preserve">Figure </w:t>
      </w:r>
      <w:r w:rsidR="00A73279">
        <w:fldChar w:fldCharType="begin"/>
      </w:r>
      <w:r w:rsidR="00A73279">
        <w:instrText xml:space="preserve"> SEQ Figure \* ARABIC </w:instrText>
      </w:r>
      <w:r w:rsidR="00A73279">
        <w:fldChar w:fldCharType="separate"/>
      </w:r>
      <w:r w:rsidR="00170133">
        <w:rPr>
          <w:noProof/>
        </w:rPr>
        <w:t>12</w:t>
      </w:r>
      <w:r w:rsidR="00A73279">
        <w:rPr>
          <w:noProof/>
        </w:rPr>
        <w:fldChar w:fldCharType="end"/>
      </w:r>
      <w:r>
        <w:t xml:space="preserve">. </w:t>
      </w:r>
      <w:r w:rsidRPr="006D727D">
        <w:t>An example of condensed Paging Occasions.</w:t>
      </w:r>
    </w:p>
    <w:p w14:paraId="12CE6CF3" w14:textId="77777777" w:rsidR="0059677F" w:rsidRDefault="0059677F" w:rsidP="0059677F">
      <w:pPr>
        <w:spacing w:beforeLines="100" w:before="240" w:afterLines="100" w:after="240"/>
        <w:jc w:val="both"/>
        <w:rPr>
          <w:rFonts w:ascii="Arial" w:hAnsi="Arial" w:cs="Arial"/>
          <w:lang w:val="en-GB"/>
        </w:rPr>
      </w:pPr>
      <w:r>
        <w:rPr>
          <w:rFonts w:ascii="Arial" w:hAnsi="Arial" w:cs="Arial"/>
          <w:lang w:val="en-GB"/>
        </w:rPr>
        <w:t xml:space="preserve">Note that when it comes to the condensed POs, we don’t see a need for dynamics as we don’t see a use case that would justify it. Furthermore, in contrast to SSB/PRACH adaptations where </w:t>
      </w:r>
      <w:r w:rsidRPr="00602BB6">
        <w:rPr>
          <w:rFonts w:ascii="Arial" w:hAnsi="Arial" w:cs="Arial"/>
          <w:i/>
          <w:iCs/>
          <w:lang w:val="en-GB"/>
        </w:rPr>
        <w:t>extra</w:t>
      </w:r>
      <w:r>
        <w:rPr>
          <w:rFonts w:ascii="Arial" w:hAnsi="Arial" w:cs="Arial"/>
          <w:lang w:val="en-GB"/>
        </w:rPr>
        <w:t xml:space="preserve"> resources are enabled for the UE and not a major problem if the UE misses their activation, for the POs it is absolutely necessary to ensure that both the UE (in fact all UEs) and the NW have the same configuration understanding. Hence, for the condensed POs we think that the configuration can be semi-statically provided and updated according to legacy schemes via system information update.</w:t>
      </w:r>
    </w:p>
    <w:p w14:paraId="14366E83" w14:textId="77777777" w:rsidR="0059677F" w:rsidRPr="00FC4B6F" w:rsidRDefault="0059677F" w:rsidP="0059677F">
      <w:pPr>
        <w:pStyle w:val="Observation"/>
        <w:numPr>
          <w:ilvl w:val="0"/>
          <w:numId w:val="3"/>
        </w:numPr>
        <w:ind w:left="1560" w:hanging="1560"/>
      </w:pPr>
      <w:bookmarkStart w:id="84" w:name="_Toc166252133"/>
      <w:r w:rsidRPr="00FC4B6F">
        <w:t>Semi-static configuration of PO by system information update avoids UE missing configuration updates.</w:t>
      </w:r>
      <w:bookmarkEnd w:id="84"/>
    </w:p>
    <w:p w14:paraId="073A4EF7" w14:textId="77777777" w:rsidR="0059677F" w:rsidRDefault="0059677F" w:rsidP="0059677F">
      <w:pPr>
        <w:spacing w:beforeLines="100" w:before="240" w:afterLines="100" w:after="240"/>
        <w:jc w:val="both"/>
        <w:rPr>
          <w:rFonts w:ascii="Arial" w:hAnsi="Arial" w:cs="Arial"/>
          <w:lang w:val="en-GB"/>
        </w:rPr>
      </w:pPr>
      <w:r w:rsidRPr="00291500">
        <w:rPr>
          <w:rFonts w:ascii="Arial" w:hAnsi="Arial" w:cs="Arial"/>
          <w:lang w:val="en-GB"/>
        </w:rPr>
        <w:t xml:space="preserve">One </w:t>
      </w:r>
      <w:r>
        <w:rPr>
          <w:rFonts w:ascii="Arial" w:hAnsi="Arial" w:cs="Arial"/>
          <w:lang w:val="en-GB"/>
        </w:rPr>
        <w:t>issue that can occur with condensed paging is that</w:t>
      </w:r>
      <w:r w:rsidRPr="00291500">
        <w:rPr>
          <w:rFonts w:ascii="Arial" w:hAnsi="Arial" w:cs="Arial"/>
          <w:lang w:val="en-GB"/>
        </w:rPr>
        <w:t xml:space="preserve"> a PRACH storm may </w:t>
      </w:r>
      <w:r>
        <w:rPr>
          <w:rFonts w:ascii="Arial" w:hAnsi="Arial" w:cs="Arial"/>
          <w:lang w:val="en-GB"/>
        </w:rPr>
        <w:t>follow</w:t>
      </w:r>
      <w:r w:rsidRPr="00291500">
        <w:rPr>
          <w:rFonts w:ascii="Arial" w:hAnsi="Arial" w:cs="Arial"/>
          <w:lang w:val="en-GB"/>
        </w:rPr>
        <w:t xml:space="preserve"> the P</w:t>
      </w:r>
      <w:r>
        <w:rPr>
          <w:rFonts w:ascii="Arial" w:hAnsi="Arial" w:cs="Arial"/>
          <w:lang w:val="en-GB"/>
        </w:rPr>
        <w:t xml:space="preserve">Os if </w:t>
      </w:r>
      <w:r w:rsidRPr="00B001D7">
        <w:rPr>
          <w:rFonts w:ascii="Arial" w:hAnsi="Arial" w:cs="Arial"/>
          <w:lang w:val="en-GB"/>
        </w:rPr>
        <w:t xml:space="preserve">many UEs are in the coverage of </w:t>
      </w:r>
      <w:r>
        <w:rPr>
          <w:rFonts w:ascii="Arial" w:hAnsi="Arial" w:cs="Arial"/>
          <w:lang w:val="en-GB"/>
        </w:rPr>
        <w:t>current</w:t>
      </w:r>
      <w:r w:rsidRPr="00B001D7">
        <w:rPr>
          <w:rFonts w:ascii="Arial" w:hAnsi="Arial" w:cs="Arial"/>
          <w:lang w:val="en-GB"/>
        </w:rPr>
        <w:t xml:space="preserve"> gNB</w:t>
      </w:r>
      <w:r>
        <w:rPr>
          <w:rFonts w:ascii="Arial" w:hAnsi="Arial" w:cs="Arial"/>
          <w:lang w:val="en-GB"/>
        </w:rPr>
        <w:t xml:space="preserve">. </w:t>
      </w:r>
      <w:r w:rsidRPr="00CF3697">
        <w:rPr>
          <w:rFonts w:ascii="Arial" w:hAnsi="Arial" w:cs="Arial"/>
          <w:lang w:val="en-GB"/>
        </w:rPr>
        <w:t xml:space="preserve">The sparsely distributed PRACH occasions, initially designed for energy conservation purposes, may struggle to accommodate the simultaneous access demands of numerous UEs. </w:t>
      </w:r>
      <w:r w:rsidRPr="00C66D0D">
        <w:rPr>
          <w:rFonts w:ascii="Arial" w:hAnsi="Arial" w:cs="Arial"/>
          <w:lang w:val="en-GB"/>
        </w:rPr>
        <w:t>Therefore, condensed paging often needs to be used in conjunction with PRACH adaptation.</w:t>
      </w:r>
      <w:r w:rsidRPr="00CC09B8">
        <w:t xml:space="preserve"> </w:t>
      </w:r>
      <w:r w:rsidRPr="00CC09B8">
        <w:rPr>
          <w:rFonts w:ascii="Arial" w:hAnsi="Arial" w:cs="Arial"/>
          <w:lang w:val="en-GB"/>
        </w:rPr>
        <w:t xml:space="preserve">On the other hand, for UEs in poor channel conditions, the gNB </w:t>
      </w:r>
      <w:r>
        <w:rPr>
          <w:rFonts w:ascii="Arial" w:hAnsi="Arial" w:cs="Arial"/>
          <w:lang w:val="en-GB"/>
        </w:rPr>
        <w:t xml:space="preserve">may </w:t>
      </w:r>
      <w:r w:rsidRPr="00CC09B8">
        <w:rPr>
          <w:rFonts w:ascii="Arial" w:hAnsi="Arial" w:cs="Arial"/>
          <w:lang w:val="en-GB"/>
        </w:rPr>
        <w:t xml:space="preserve">need to provide </w:t>
      </w:r>
      <w:r>
        <w:rPr>
          <w:rFonts w:ascii="Arial" w:hAnsi="Arial" w:cs="Arial"/>
          <w:lang w:val="en-GB"/>
        </w:rPr>
        <w:t>additional</w:t>
      </w:r>
      <w:r w:rsidRPr="00CC09B8">
        <w:rPr>
          <w:rFonts w:ascii="Arial" w:hAnsi="Arial" w:cs="Arial"/>
          <w:lang w:val="en-GB"/>
        </w:rPr>
        <w:t xml:space="preserve"> SSBs </w:t>
      </w:r>
      <w:r>
        <w:rPr>
          <w:rFonts w:ascii="Arial" w:hAnsi="Arial" w:cs="Arial"/>
          <w:lang w:val="en-GB"/>
        </w:rPr>
        <w:t>before</w:t>
      </w:r>
      <w:r w:rsidRPr="00CC09B8">
        <w:rPr>
          <w:rFonts w:ascii="Arial" w:hAnsi="Arial" w:cs="Arial"/>
          <w:lang w:val="en-GB"/>
        </w:rPr>
        <w:t xml:space="preserve"> the </w:t>
      </w:r>
      <w:r>
        <w:rPr>
          <w:rFonts w:ascii="Arial" w:hAnsi="Arial" w:cs="Arial"/>
          <w:lang w:val="en-GB"/>
        </w:rPr>
        <w:t>POs</w:t>
      </w:r>
      <w:r w:rsidRPr="00CC09B8">
        <w:rPr>
          <w:rFonts w:ascii="Arial" w:hAnsi="Arial" w:cs="Arial"/>
          <w:lang w:val="en-GB"/>
        </w:rPr>
        <w:t xml:space="preserve"> and </w:t>
      </w:r>
      <w:r>
        <w:rPr>
          <w:rFonts w:ascii="Arial" w:hAnsi="Arial" w:cs="Arial"/>
          <w:lang w:val="en-GB"/>
        </w:rPr>
        <w:t xml:space="preserve">dynamically activated additional </w:t>
      </w:r>
      <w:r w:rsidRPr="00CC09B8">
        <w:rPr>
          <w:rFonts w:ascii="Arial" w:hAnsi="Arial" w:cs="Arial"/>
          <w:lang w:val="en-GB"/>
        </w:rPr>
        <w:t>PRACH</w:t>
      </w:r>
      <w:r>
        <w:rPr>
          <w:rFonts w:ascii="Arial" w:hAnsi="Arial" w:cs="Arial"/>
          <w:lang w:val="en-GB"/>
        </w:rPr>
        <w:t xml:space="preserve"> occasions</w:t>
      </w:r>
      <w:r w:rsidRPr="00CC09B8">
        <w:rPr>
          <w:rFonts w:ascii="Arial" w:hAnsi="Arial" w:cs="Arial"/>
          <w:lang w:val="en-GB"/>
        </w:rPr>
        <w:t>.</w:t>
      </w:r>
      <w:r>
        <w:rPr>
          <w:rFonts w:ascii="Arial" w:hAnsi="Arial" w:cs="Arial"/>
          <w:lang w:val="en-GB"/>
        </w:rPr>
        <w:t xml:space="preserve"> </w:t>
      </w:r>
      <w:r w:rsidRPr="0073267A">
        <w:rPr>
          <w:rFonts w:ascii="Arial" w:hAnsi="Arial" w:cs="Arial"/>
          <w:lang w:val="en-GB"/>
        </w:rPr>
        <w:t>Therefore, condensed PO also needs to be used in conjunction with SSB adaptation.</w:t>
      </w:r>
      <w:r>
        <w:rPr>
          <w:rFonts w:ascii="Arial" w:hAnsi="Arial" w:cs="Arial"/>
          <w:lang w:val="en-GB"/>
        </w:rPr>
        <w:t xml:space="preserve"> </w:t>
      </w:r>
    </w:p>
    <w:p w14:paraId="62F4161F" w14:textId="77777777" w:rsidR="0059677F" w:rsidRDefault="0059677F" w:rsidP="0059677F">
      <w:pPr>
        <w:spacing w:beforeLines="100" w:before="240" w:afterLines="100" w:after="240"/>
        <w:jc w:val="both"/>
        <w:rPr>
          <w:rFonts w:ascii="Arial" w:hAnsi="Arial" w:cs="Arial"/>
          <w:lang w:val="en-GB"/>
        </w:rPr>
      </w:pPr>
      <w:r>
        <w:rPr>
          <w:rFonts w:ascii="Arial" w:hAnsi="Arial" w:cs="Arial"/>
          <w:lang w:val="en-GB"/>
        </w:rPr>
        <w:t>We evaluated some cases between conventional condensed paging and further condensed paging to have better insight on the potential power saving gain.</w:t>
      </w:r>
    </w:p>
    <w:p w14:paraId="49018C89" w14:textId="15298173" w:rsidR="0059677F" w:rsidRDefault="00E939D0" w:rsidP="0059677F">
      <w:pPr>
        <w:spacing w:beforeLines="100" w:before="240" w:afterLines="100" w:after="240"/>
        <w:jc w:val="both"/>
        <w:rPr>
          <w:rFonts w:ascii="Arial" w:hAnsi="Arial" w:cs="Arial"/>
          <w:lang w:val="en-GB"/>
        </w:rPr>
      </w:pPr>
      <w:r>
        <w:rPr>
          <w:rFonts w:ascii="Arial" w:hAnsi="Arial" w:cs="Arial"/>
          <w:lang w:val="en-GB"/>
        </w:rPr>
        <w:t>Below t</w:t>
      </w:r>
      <w:r w:rsidR="0059677F">
        <w:rPr>
          <w:rFonts w:ascii="Arial" w:hAnsi="Arial" w:cs="Arial"/>
          <w:lang w:val="en-GB"/>
        </w:rPr>
        <w:t xml:space="preserve">able shows the network energy saving gain for different paging configurations. The configuration (SSB@20ms, PRACH@10ms, SIB1@40ms) may be a typical setting, and (SSB@40ms, PRACH@40ms, SIB1@40ms) can be considered as somewhat sparser setting. We assume the paging configuration of 40ms, Ns=4 as the minimum condensed paging baseline (i.e., from legacy) where 4 paging occasions are condensed every 40ms. For further condensed paging (New), Ns=8 and 16 were used for evaluation purposes. The simulation results shows that there may be no network energy saving gain for the cases with small SSB periodicities (20ms/40ms) because gNB needs to anyways wake up often (every 20/40ms) to transmit/receive SSB, SIB1, and PRACH. </w:t>
      </w:r>
    </w:p>
    <w:p w14:paraId="5B79457A" w14:textId="77777777" w:rsidR="0059677F" w:rsidRDefault="0059677F" w:rsidP="0059677F">
      <w:pPr>
        <w:spacing w:beforeLines="100" w:before="240" w:afterLines="100" w:after="240"/>
        <w:jc w:val="both"/>
        <w:rPr>
          <w:rFonts w:ascii="Arial" w:hAnsi="Arial" w:cs="Arial"/>
          <w:lang w:val="en-GB"/>
        </w:rPr>
      </w:pPr>
      <w:r>
        <w:rPr>
          <w:rFonts w:ascii="Arial" w:hAnsi="Arial" w:cs="Arial"/>
          <w:lang w:val="en-GB"/>
        </w:rPr>
        <w:t>To achieve deep sleep, the gNB need at least 50ms opportunity (for CAT1) which can be achieved for case (SSB@160ms, PRACH@160ms, SIB1@160ms) and for this case, we can observe that 6% to 17% network energy saving gain can be achieved if further condensed paging is used.</w:t>
      </w:r>
    </w:p>
    <w:p w14:paraId="566B2DC3" w14:textId="7F46D977" w:rsidR="0059677F" w:rsidRDefault="0059677F" w:rsidP="0059677F">
      <w:pPr>
        <w:pStyle w:val="Caption"/>
        <w:keepNext/>
      </w:pPr>
      <w:r>
        <w:t xml:space="preserve">Table </w:t>
      </w:r>
      <w:r w:rsidR="00A73279">
        <w:fldChar w:fldCharType="begin"/>
      </w:r>
      <w:r w:rsidR="00A73279">
        <w:instrText xml:space="preserve"> SEQ Table \* ARABIC </w:instrText>
      </w:r>
      <w:r w:rsidR="00A73279">
        <w:fldChar w:fldCharType="separate"/>
      </w:r>
      <w:r w:rsidR="00E939D0">
        <w:rPr>
          <w:noProof/>
        </w:rPr>
        <w:t>2</w:t>
      </w:r>
      <w:r w:rsidR="00A73279">
        <w:rPr>
          <w:noProof/>
        </w:rPr>
        <w:fldChar w:fldCharType="end"/>
      </w:r>
      <w:r>
        <w:t xml:space="preserve">. </w:t>
      </w:r>
      <w:r w:rsidRPr="00D80CC1">
        <w:t>Network energy saving gain for different paging configurations (10% paging rate)</w:t>
      </w:r>
      <w:r>
        <w:t>. BS energy consumption model is CAT1.</w:t>
      </w:r>
    </w:p>
    <w:tbl>
      <w:tblPr>
        <w:tblW w:w="9599" w:type="dxa"/>
        <w:tblLook w:val="04A0" w:firstRow="1" w:lastRow="0" w:firstColumn="1" w:lastColumn="0" w:noHBand="0" w:noVBand="1"/>
      </w:tblPr>
      <w:tblGrid>
        <w:gridCol w:w="2122"/>
        <w:gridCol w:w="1584"/>
        <w:gridCol w:w="2045"/>
        <w:gridCol w:w="1012"/>
        <w:gridCol w:w="912"/>
        <w:gridCol w:w="1012"/>
        <w:gridCol w:w="912"/>
      </w:tblGrid>
      <w:tr w:rsidR="0059677F" w:rsidRPr="00F6100C" w14:paraId="58562C00" w14:textId="77777777" w:rsidTr="000E77BF">
        <w:trPr>
          <w:trHeight w:val="570"/>
        </w:trPr>
        <w:tc>
          <w:tcPr>
            <w:tcW w:w="21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C786E0"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SSB/PRACH/SIB1 periodicity</w:t>
            </w:r>
          </w:p>
        </w:tc>
        <w:tc>
          <w:tcPr>
            <w:tcW w:w="15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8E34F0"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PF periodicity</w:t>
            </w:r>
          </w:p>
        </w:tc>
        <w:tc>
          <w:tcPr>
            <w:tcW w:w="20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B4CD"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Ns (POs per PF)</w:t>
            </w:r>
          </w:p>
        </w:tc>
        <w:tc>
          <w:tcPr>
            <w:tcW w:w="1924" w:type="dxa"/>
            <w:gridSpan w:val="2"/>
            <w:tcBorders>
              <w:top w:val="single" w:sz="4" w:space="0" w:color="auto"/>
              <w:left w:val="nil"/>
              <w:bottom w:val="single" w:sz="4" w:space="0" w:color="auto"/>
              <w:right w:val="single" w:sz="4" w:space="0" w:color="auto"/>
            </w:tcBorders>
            <w:shd w:val="clear" w:color="auto" w:fill="auto"/>
            <w:vAlign w:val="center"/>
            <w:hideMark/>
          </w:tcPr>
          <w:p w14:paraId="43D1FF9A"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One beam</w:t>
            </w:r>
          </w:p>
        </w:tc>
        <w:tc>
          <w:tcPr>
            <w:tcW w:w="1924" w:type="dxa"/>
            <w:gridSpan w:val="2"/>
            <w:tcBorders>
              <w:top w:val="single" w:sz="4" w:space="0" w:color="auto"/>
              <w:left w:val="nil"/>
              <w:bottom w:val="single" w:sz="4" w:space="0" w:color="auto"/>
              <w:right w:val="single" w:sz="4" w:space="0" w:color="000000"/>
            </w:tcBorders>
            <w:shd w:val="clear" w:color="auto" w:fill="auto"/>
            <w:vAlign w:val="center"/>
            <w:hideMark/>
          </w:tcPr>
          <w:p w14:paraId="6A479CC5"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Four beams</w:t>
            </w:r>
          </w:p>
        </w:tc>
      </w:tr>
      <w:tr w:rsidR="0059677F" w:rsidRPr="00F6100C" w14:paraId="0C833908" w14:textId="77777777" w:rsidTr="000E77BF">
        <w:trPr>
          <w:trHeight w:val="580"/>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CE2CE31" w14:textId="77777777" w:rsidR="0059677F" w:rsidRPr="00206ABC" w:rsidRDefault="0059677F" w:rsidP="000E77BF">
            <w:pPr>
              <w:rPr>
                <w:rFonts w:ascii="Arial" w:hAnsi="Arial" w:cs="Arial"/>
                <w:color w:val="000000"/>
                <w:sz w:val="20"/>
                <w:szCs w:val="20"/>
                <w:lang w:eastAsia="ja-JP"/>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14:paraId="240D37F8" w14:textId="77777777" w:rsidR="0059677F" w:rsidRPr="00206ABC" w:rsidRDefault="0059677F" w:rsidP="000E77BF">
            <w:pPr>
              <w:rPr>
                <w:rFonts w:ascii="Arial" w:hAnsi="Arial" w:cs="Arial"/>
                <w:color w:val="000000"/>
                <w:sz w:val="20"/>
                <w:szCs w:val="20"/>
                <w:lang w:eastAsia="ja-JP"/>
              </w:rPr>
            </w:pPr>
          </w:p>
        </w:tc>
        <w:tc>
          <w:tcPr>
            <w:tcW w:w="2045" w:type="dxa"/>
            <w:vMerge/>
            <w:tcBorders>
              <w:top w:val="single" w:sz="4" w:space="0" w:color="auto"/>
              <w:left w:val="single" w:sz="4" w:space="0" w:color="auto"/>
              <w:bottom w:val="single" w:sz="4" w:space="0" w:color="auto"/>
              <w:right w:val="single" w:sz="4" w:space="0" w:color="auto"/>
            </w:tcBorders>
            <w:vAlign w:val="center"/>
            <w:hideMark/>
          </w:tcPr>
          <w:p w14:paraId="2A28FCD6" w14:textId="77777777" w:rsidR="0059677F" w:rsidRPr="00206ABC" w:rsidRDefault="0059677F" w:rsidP="000E77BF">
            <w:pPr>
              <w:rPr>
                <w:rFonts w:ascii="Arial" w:hAnsi="Arial" w:cs="Arial"/>
                <w:color w:val="000000"/>
                <w:sz w:val="20"/>
                <w:szCs w:val="20"/>
                <w:lang w:eastAsia="ja-JP"/>
              </w:rPr>
            </w:pPr>
          </w:p>
        </w:tc>
        <w:tc>
          <w:tcPr>
            <w:tcW w:w="1012" w:type="dxa"/>
            <w:tcBorders>
              <w:top w:val="nil"/>
              <w:left w:val="nil"/>
              <w:bottom w:val="single" w:sz="4" w:space="0" w:color="auto"/>
              <w:right w:val="single" w:sz="4" w:space="0" w:color="auto"/>
            </w:tcBorders>
            <w:shd w:val="clear" w:color="auto" w:fill="auto"/>
            <w:vAlign w:val="center"/>
            <w:hideMark/>
          </w:tcPr>
          <w:p w14:paraId="01786C1F"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average power</w:t>
            </w:r>
          </w:p>
        </w:tc>
        <w:tc>
          <w:tcPr>
            <w:tcW w:w="912" w:type="dxa"/>
            <w:tcBorders>
              <w:top w:val="nil"/>
              <w:left w:val="nil"/>
              <w:bottom w:val="single" w:sz="4" w:space="0" w:color="auto"/>
              <w:right w:val="single" w:sz="4" w:space="0" w:color="auto"/>
            </w:tcBorders>
            <w:shd w:val="clear" w:color="auto" w:fill="auto"/>
            <w:vAlign w:val="center"/>
            <w:hideMark/>
          </w:tcPr>
          <w:p w14:paraId="03D89497"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NES gain</w:t>
            </w:r>
          </w:p>
        </w:tc>
        <w:tc>
          <w:tcPr>
            <w:tcW w:w="1012" w:type="dxa"/>
            <w:tcBorders>
              <w:top w:val="nil"/>
              <w:left w:val="nil"/>
              <w:bottom w:val="single" w:sz="4" w:space="0" w:color="auto"/>
              <w:right w:val="single" w:sz="4" w:space="0" w:color="auto"/>
            </w:tcBorders>
            <w:shd w:val="clear" w:color="auto" w:fill="auto"/>
            <w:vAlign w:val="bottom"/>
            <w:hideMark/>
          </w:tcPr>
          <w:p w14:paraId="26C92898"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average power</w:t>
            </w:r>
          </w:p>
        </w:tc>
        <w:tc>
          <w:tcPr>
            <w:tcW w:w="912" w:type="dxa"/>
            <w:tcBorders>
              <w:top w:val="nil"/>
              <w:left w:val="nil"/>
              <w:bottom w:val="single" w:sz="4" w:space="0" w:color="auto"/>
              <w:right w:val="single" w:sz="4" w:space="0" w:color="auto"/>
            </w:tcBorders>
            <w:shd w:val="clear" w:color="auto" w:fill="auto"/>
            <w:vAlign w:val="center"/>
            <w:hideMark/>
          </w:tcPr>
          <w:p w14:paraId="0E2715FD"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NES gain</w:t>
            </w:r>
          </w:p>
        </w:tc>
      </w:tr>
      <w:tr w:rsidR="0059677F" w:rsidRPr="00F6100C" w14:paraId="0B3A440C" w14:textId="77777777" w:rsidTr="000E77BF">
        <w:trPr>
          <w:trHeight w:val="29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14:paraId="212FA6E3"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SSB@20ms, PRACH@10ms, SIB1@40ms</w:t>
            </w:r>
          </w:p>
        </w:tc>
        <w:tc>
          <w:tcPr>
            <w:tcW w:w="1584" w:type="dxa"/>
            <w:tcBorders>
              <w:top w:val="nil"/>
              <w:left w:val="nil"/>
              <w:bottom w:val="single" w:sz="4" w:space="0" w:color="auto"/>
              <w:right w:val="single" w:sz="4" w:space="0" w:color="auto"/>
            </w:tcBorders>
            <w:shd w:val="clear" w:color="auto" w:fill="auto"/>
            <w:vAlign w:val="center"/>
            <w:hideMark/>
          </w:tcPr>
          <w:p w14:paraId="3C220C6C" w14:textId="77777777" w:rsidR="0059677F" w:rsidRPr="00206ABC" w:rsidRDefault="0059677F" w:rsidP="000E77BF">
            <w:pPr>
              <w:rPr>
                <w:rFonts w:ascii="Arial" w:hAnsi="Arial" w:cs="Arial"/>
                <w:color w:val="000000"/>
                <w:sz w:val="20"/>
                <w:szCs w:val="20"/>
                <w:lang w:eastAsia="ja-JP"/>
              </w:rPr>
            </w:pPr>
            <w:r w:rsidRPr="00206ABC">
              <w:rPr>
                <w:rFonts w:ascii="Arial" w:hAnsi="Arial" w:cs="Arial"/>
                <w:color w:val="000000"/>
                <w:sz w:val="20"/>
                <w:szCs w:val="20"/>
                <w:lang w:eastAsia="ja-JP"/>
              </w:rPr>
              <w:t>40ms (baseline)</w:t>
            </w:r>
          </w:p>
        </w:tc>
        <w:tc>
          <w:tcPr>
            <w:tcW w:w="2045" w:type="dxa"/>
            <w:tcBorders>
              <w:top w:val="nil"/>
              <w:left w:val="nil"/>
              <w:bottom w:val="single" w:sz="4" w:space="0" w:color="auto"/>
              <w:right w:val="single" w:sz="4" w:space="0" w:color="auto"/>
            </w:tcBorders>
            <w:shd w:val="clear" w:color="auto" w:fill="auto"/>
            <w:noWrap/>
            <w:vAlign w:val="bottom"/>
            <w:hideMark/>
          </w:tcPr>
          <w:p w14:paraId="0143650A"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Ns=4 (legacy)</w:t>
            </w:r>
          </w:p>
        </w:tc>
        <w:tc>
          <w:tcPr>
            <w:tcW w:w="1012" w:type="dxa"/>
            <w:tcBorders>
              <w:top w:val="nil"/>
              <w:left w:val="nil"/>
              <w:bottom w:val="single" w:sz="4" w:space="0" w:color="auto"/>
              <w:right w:val="single" w:sz="4" w:space="0" w:color="auto"/>
            </w:tcBorders>
            <w:shd w:val="clear" w:color="auto" w:fill="auto"/>
            <w:noWrap/>
            <w:vAlign w:val="bottom"/>
            <w:hideMark/>
          </w:tcPr>
          <w:p w14:paraId="1187EBAE"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22.6</w:t>
            </w:r>
          </w:p>
        </w:tc>
        <w:tc>
          <w:tcPr>
            <w:tcW w:w="912" w:type="dxa"/>
            <w:tcBorders>
              <w:top w:val="nil"/>
              <w:left w:val="nil"/>
              <w:bottom w:val="single" w:sz="4" w:space="0" w:color="auto"/>
              <w:right w:val="single" w:sz="4" w:space="0" w:color="auto"/>
            </w:tcBorders>
            <w:shd w:val="clear" w:color="auto" w:fill="auto"/>
            <w:vAlign w:val="center"/>
            <w:hideMark/>
          </w:tcPr>
          <w:p w14:paraId="26692AC9"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auto"/>
            <w:noWrap/>
            <w:vAlign w:val="bottom"/>
            <w:hideMark/>
          </w:tcPr>
          <w:p w14:paraId="2B9B2551"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26.95</w:t>
            </w:r>
          </w:p>
        </w:tc>
        <w:tc>
          <w:tcPr>
            <w:tcW w:w="912" w:type="dxa"/>
            <w:tcBorders>
              <w:top w:val="nil"/>
              <w:left w:val="nil"/>
              <w:bottom w:val="single" w:sz="4" w:space="0" w:color="auto"/>
              <w:right w:val="single" w:sz="4" w:space="0" w:color="auto"/>
            </w:tcBorders>
            <w:shd w:val="clear" w:color="auto" w:fill="auto"/>
            <w:vAlign w:val="center"/>
            <w:hideMark/>
          </w:tcPr>
          <w:p w14:paraId="79F370C6"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9677F" w:rsidRPr="00F6100C" w14:paraId="72CFA130" w14:textId="77777777" w:rsidTr="000E77BF">
        <w:trPr>
          <w:trHeight w:val="290"/>
        </w:trPr>
        <w:tc>
          <w:tcPr>
            <w:tcW w:w="2122" w:type="dxa"/>
            <w:vMerge/>
            <w:tcBorders>
              <w:top w:val="nil"/>
              <w:left w:val="single" w:sz="4" w:space="0" w:color="auto"/>
              <w:bottom w:val="single" w:sz="4" w:space="0" w:color="auto"/>
              <w:right w:val="single" w:sz="4" w:space="0" w:color="auto"/>
            </w:tcBorders>
            <w:vAlign w:val="center"/>
            <w:hideMark/>
          </w:tcPr>
          <w:p w14:paraId="55512FA3" w14:textId="77777777" w:rsidR="0059677F" w:rsidRPr="00206ABC" w:rsidRDefault="0059677F" w:rsidP="000E77BF">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269D71A8" w14:textId="77777777" w:rsidR="0059677F" w:rsidRPr="00206ABC" w:rsidRDefault="0059677F" w:rsidP="000E77BF">
            <w:pPr>
              <w:rPr>
                <w:rFonts w:ascii="Arial" w:hAnsi="Arial" w:cs="Arial"/>
                <w:color w:val="000000"/>
                <w:sz w:val="20"/>
                <w:szCs w:val="20"/>
                <w:lang w:eastAsia="ja-JP"/>
              </w:rPr>
            </w:pPr>
            <w:r w:rsidRPr="00206ABC">
              <w:rPr>
                <w:rFonts w:ascii="Arial" w:hAnsi="Arial" w:cs="Arial"/>
                <w:color w:val="000000"/>
                <w:sz w:val="20"/>
                <w:szCs w:val="20"/>
                <w:lang w:eastAsia="ja-JP"/>
              </w:rPr>
              <w:t>80ms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011E1406"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 xml:space="preserve">Ns =8 (New) </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79F2E36C"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22.6</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760B9DBE"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36AF82FA"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26.95</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06407B87"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9677F" w:rsidRPr="00F6100C" w14:paraId="669F408D" w14:textId="77777777" w:rsidTr="000E77BF">
        <w:trPr>
          <w:trHeight w:val="290"/>
        </w:trPr>
        <w:tc>
          <w:tcPr>
            <w:tcW w:w="2122" w:type="dxa"/>
            <w:vMerge/>
            <w:tcBorders>
              <w:top w:val="nil"/>
              <w:left w:val="single" w:sz="4" w:space="0" w:color="auto"/>
              <w:bottom w:val="single" w:sz="4" w:space="0" w:color="auto"/>
              <w:right w:val="single" w:sz="4" w:space="0" w:color="auto"/>
            </w:tcBorders>
            <w:vAlign w:val="center"/>
            <w:hideMark/>
          </w:tcPr>
          <w:p w14:paraId="2267A2A7" w14:textId="77777777" w:rsidR="0059677F" w:rsidRPr="00206ABC" w:rsidRDefault="0059677F" w:rsidP="000E77BF">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7CD7B003" w14:textId="77777777" w:rsidR="0059677F" w:rsidRPr="00206ABC" w:rsidRDefault="0059677F" w:rsidP="000E77BF">
            <w:pPr>
              <w:rPr>
                <w:rFonts w:ascii="Arial" w:hAnsi="Arial" w:cs="Arial"/>
                <w:color w:val="000000"/>
                <w:sz w:val="20"/>
                <w:szCs w:val="20"/>
                <w:lang w:eastAsia="ja-JP"/>
              </w:rPr>
            </w:pPr>
            <w:r w:rsidRPr="00206ABC">
              <w:rPr>
                <w:rFonts w:ascii="Arial" w:hAnsi="Arial" w:cs="Arial"/>
                <w:color w:val="000000"/>
                <w:sz w:val="20"/>
                <w:szCs w:val="20"/>
                <w:lang w:eastAsia="ja-JP"/>
              </w:rPr>
              <w:t>160ms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79887100"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Ns=16(New)</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02640E68"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22.6</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53895391"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5657CCD3"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26.95</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0159A1C2"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9677F" w:rsidRPr="00F6100C" w14:paraId="393D058D" w14:textId="77777777" w:rsidTr="000E77BF">
        <w:trPr>
          <w:trHeight w:val="29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14:paraId="067C6075"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SSB@40ms, PRACH@40ms, SIB1@40ms</w:t>
            </w:r>
          </w:p>
        </w:tc>
        <w:tc>
          <w:tcPr>
            <w:tcW w:w="1584" w:type="dxa"/>
            <w:tcBorders>
              <w:top w:val="nil"/>
              <w:left w:val="nil"/>
              <w:bottom w:val="single" w:sz="4" w:space="0" w:color="auto"/>
              <w:right w:val="single" w:sz="4" w:space="0" w:color="auto"/>
            </w:tcBorders>
            <w:shd w:val="clear" w:color="auto" w:fill="auto"/>
            <w:vAlign w:val="center"/>
            <w:hideMark/>
          </w:tcPr>
          <w:p w14:paraId="6C8D116A" w14:textId="77777777" w:rsidR="0059677F" w:rsidRPr="00206ABC" w:rsidRDefault="0059677F" w:rsidP="000E77BF">
            <w:pPr>
              <w:rPr>
                <w:rFonts w:ascii="Arial" w:hAnsi="Arial" w:cs="Arial"/>
                <w:color w:val="000000"/>
                <w:sz w:val="20"/>
                <w:szCs w:val="20"/>
                <w:lang w:eastAsia="ja-JP"/>
              </w:rPr>
            </w:pPr>
            <w:r w:rsidRPr="00206ABC">
              <w:rPr>
                <w:rFonts w:ascii="Arial" w:hAnsi="Arial" w:cs="Arial"/>
                <w:color w:val="000000"/>
                <w:sz w:val="20"/>
                <w:szCs w:val="20"/>
                <w:lang w:eastAsia="ja-JP"/>
              </w:rPr>
              <w:t>40ms (baseline)</w:t>
            </w:r>
          </w:p>
        </w:tc>
        <w:tc>
          <w:tcPr>
            <w:tcW w:w="2045" w:type="dxa"/>
            <w:tcBorders>
              <w:top w:val="nil"/>
              <w:left w:val="nil"/>
              <w:bottom w:val="single" w:sz="4" w:space="0" w:color="auto"/>
              <w:right w:val="single" w:sz="4" w:space="0" w:color="auto"/>
            </w:tcBorders>
            <w:shd w:val="clear" w:color="auto" w:fill="auto"/>
            <w:noWrap/>
            <w:vAlign w:val="bottom"/>
            <w:hideMark/>
          </w:tcPr>
          <w:p w14:paraId="7AE1F016"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Ns=4 (legacy)</w:t>
            </w:r>
          </w:p>
        </w:tc>
        <w:tc>
          <w:tcPr>
            <w:tcW w:w="1012" w:type="dxa"/>
            <w:tcBorders>
              <w:top w:val="nil"/>
              <w:left w:val="nil"/>
              <w:bottom w:val="single" w:sz="4" w:space="0" w:color="auto"/>
              <w:right w:val="single" w:sz="4" w:space="0" w:color="auto"/>
            </w:tcBorders>
            <w:shd w:val="clear" w:color="auto" w:fill="auto"/>
            <w:noWrap/>
            <w:vAlign w:val="bottom"/>
            <w:hideMark/>
          </w:tcPr>
          <w:p w14:paraId="48C48170"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15.9</w:t>
            </w:r>
          </w:p>
        </w:tc>
        <w:tc>
          <w:tcPr>
            <w:tcW w:w="912" w:type="dxa"/>
            <w:tcBorders>
              <w:top w:val="nil"/>
              <w:left w:val="nil"/>
              <w:bottom w:val="single" w:sz="4" w:space="0" w:color="auto"/>
              <w:right w:val="single" w:sz="4" w:space="0" w:color="auto"/>
            </w:tcBorders>
            <w:shd w:val="clear" w:color="auto" w:fill="auto"/>
            <w:vAlign w:val="center"/>
            <w:hideMark/>
          </w:tcPr>
          <w:p w14:paraId="35A692DC"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auto"/>
            <w:noWrap/>
            <w:vAlign w:val="bottom"/>
            <w:hideMark/>
          </w:tcPr>
          <w:p w14:paraId="525CCE59"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20.3</w:t>
            </w:r>
          </w:p>
        </w:tc>
        <w:tc>
          <w:tcPr>
            <w:tcW w:w="912" w:type="dxa"/>
            <w:tcBorders>
              <w:top w:val="nil"/>
              <w:left w:val="nil"/>
              <w:bottom w:val="single" w:sz="4" w:space="0" w:color="auto"/>
              <w:right w:val="single" w:sz="4" w:space="0" w:color="auto"/>
            </w:tcBorders>
            <w:shd w:val="clear" w:color="auto" w:fill="auto"/>
            <w:vAlign w:val="center"/>
            <w:hideMark/>
          </w:tcPr>
          <w:p w14:paraId="4D6510A9"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9677F" w:rsidRPr="00F6100C" w14:paraId="41344AB8" w14:textId="77777777" w:rsidTr="000E77BF">
        <w:trPr>
          <w:trHeight w:val="290"/>
        </w:trPr>
        <w:tc>
          <w:tcPr>
            <w:tcW w:w="2122" w:type="dxa"/>
            <w:vMerge/>
            <w:tcBorders>
              <w:top w:val="nil"/>
              <w:left w:val="single" w:sz="4" w:space="0" w:color="auto"/>
              <w:bottom w:val="single" w:sz="4" w:space="0" w:color="auto"/>
              <w:right w:val="single" w:sz="4" w:space="0" w:color="auto"/>
            </w:tcBorders>
            <w:vAlign w:val="center"/>
            <w:hideMark/>
          </w:tcPr>
          <w:p w14:paraId="750ACA1C" w14:textId="77777777" w:rsidR="0059677F" w:rsidRPr="00206ABC" w:rsidRDefault="0059677F" w:rsidP="000E77BF">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39F896D9" w14:textId="77777777" w:rsidR="0059677F" w:rsidRPr="00206ABC" w:rsidRDefault="0059677F" w:rsidP="000E77BF">
            <w:pPr>
              <w:rPr>
                <w:rFonts w:ascii="Arial" w:hAnsi="Arial" w:cs="Arial"/>
                <w:color w:val="000000"/>
                <w:sz w:val="20"/>
                <w:szCs w:val="20"/>
                <w:lang w:eastAsia="ja-JP"/>
              </w:rPr>
            </w:pPr>
            <w:r w:rsidRPr="00206ABC">
              <w:rPr>
                <w:rFonts w:ascii="Arial" w:hAnsi="Arial" w:cs="Arial"/>
                <w:color w:val="000000"/>
                <w:sz w:val="20"/>
                <w:szCs w:val="20"/>
                <w:lang w:eastAsia="ja-JP"/>
              </w:rPr>
              <w:t>80ms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10BFD448"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 xml:space="preserve">Ns =8 (New) </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2A3F92A4"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15.9</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63E9782A"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0EB3D441"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20.3</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23E271CB"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9677F" w:rsidRPr="00F6100C" w14:paraId="7E4DDB5B" w14:textId="77777777" w:rsidTr="000E77BF">
        <w:trPr>
          <w:trHeight w:val="290"/>
        </w:trPr>
        <w:tc>
          <w:tcPr>
            <w:tcW w:w="2122" w:type="dxa"/>
            <w:vMerge/>
            <w:tcBorders>
              <w:top w:val="nil"/>
              <w:left w:val="single" w:sz="4" w:space="0" w:color="auto"/>
              <w:bottom w:val="single" w:sz="4" w:space="0" w:color="auto"/>
              <w:right w:val="single" w:sz="4" w:space="0" w:color="auto"/>
            </w:tcBorders>
            <w:vAlign w:val="center"/>
            <w:hideMark/>
          </w:tcPr>
          <w:p w14:paraId="0E2343BF" w14:textId="77777777" w:rsidR="0059677F" w:rsidRPr="00206ABC" w:rsidRDefault="0059677F" w:rsidP="000E77BF">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79EAB420" w14:textId="77777777" w:rsidR="0059677F" w:rsidRPr="00206ABC" w:rsidRDefault="0059677F" w:rsidP="000E77BF">
            <w:pPr>
              <w:rPr>
                <w:rFonts w:ascii="Arial" w:hAnsi="Arial" w:cs="Arial"/>
                <w:color w:val="000000"/>
                <w:sz w:val="20"/>
                <w:szCs w:val="20"/>
                <w:lang w:eastAsia="ja-JP"/>
              </w:rPr>
            </w:pPr>
            <w:r w:rsidRPr="00206ABC">
              <w:rPr>
                <w:rFonts w:ascii="Arial" w:hAnsi="Arial" w:cs="Arial"/>
                <w:color w:val="000000"/>
                <w:sz w:val="20"/>
                <w:szCs w:val="20"/>
                <w:lang w:eastAsia="ja-JP"/>
              </w:rPr>
              <w:t>160ms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3C0D233D"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Ns=16(New)</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5F0DBF7D"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15.9</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2D780091"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6FBA9290"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20.3</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6395A0FC"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9677F" w:rsidRPr="00F6100C" w14:paraId="6103F611" w14:textId="77777777" w:rsidTr="000E77BF">
        <w:trPr>
          <w:trHeight w:val="29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14:paraId="0BE51CE9"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SSB@160ms, PRACH@160ms, SIB1@160ms</w:t>
            </w:r>
          </w:p>
        </w:tc>
        <w:tc>
          <w:tcPr>
            <w:tcW w:w="1584" w:type="dxa"/>
            <w:tcBorders>
              <w:top w:val="nil"/>
              <w:left w:val="nil"/>
              <w:bottom w:val="single" w:sz="4" w:space="0" w:color="auto"/>
              <w:right w:val="single" w:sz="4" w:space="0" w:color="auto"/>
            </w:tcBorders>
            <w:shd w:val="clear" w:color="auto" w:fill="auto"/>
            <w:vAlign w:val="center"/>
            <w:hideMark/>
          </w:tcPr>
          <w:p w14:paraId="6F92CB04" w14:textId="77777777" w:rsidR="0059677F" w:rsidRPr="00206ABC" w:rsidRDefault="0059677F" w:rsidP="000E77BF">
            <w:pPr>
              <w:rPr>
                <w:rFonts w:ascii="Arial" w:hAnsi="Arial" w:cs="Arial"/>
                <w:color w:val="000000"/>
                <w:sz w:val="20"/>
                <w:szCs w:val="20"/>
                <w:lang w:eastAsia="ja-JP"/>
              </w:rPr>
            </w:pPr>
            <w:r w:rsidRPr="00206ABC">
              <w:rPr>
                <w:rFonts w:ascii="Arial" w:hAnsi="Arial" w:cs="Arial"/>
                <w:color w:val="000000"/>
                <w:sz w:val="20"/>
                <w:szCs w:val="20"/>
                <w:lang w:eastAsia="ja-JP"/>
              </w:rPr>
              <w:t>40ms (baseline)</w:t>
            </w:r>
          </w:p>
        </w:tc>
        <w:tc>
          <w:tcPr>
            <w:tcW w:w="2045" w:type="dxa"/>
            <w:tcBorders>
              <w:top w:val="nil"/>
              <w:left w:val="nil"/>
              <w:bottom w:val="single" w:sz="4" w:space="0" w:color="auto"/>
              <w:right w:val="single" w:sz="4" w:space="0" w:color="auto"/>
            </w:tcBorders>
            <w:shd w:val="clear" w:color="auto" w:fill="auto"/>
            <w:noWrap/>
            <w:vAlign w:val="bottom"/>
            <w:hideMark/>
          </w:tcPr>
          <w:p w14:paraId="6D835761"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Ns=4 (legacy)</w:t>
            </w:r>
          </w:p>
        </w:tc>
        <w:tc>
          <w:tcPr>
            <w:tcW w:w="1012" w:type="dxa"/>
            <w:tcBorders>
              <w:top w:val="nil"/>
              <w:left w:val="nil"/>
              <w:bottom w:val="single" w:sz="4" w:space="0" w:color="auto"/>
              <w:right w:val="single" w:sz="4" w:space="0" w:color="auto"/>
            </w:tcBorders>
            <w:shd w:val="clear" w:color="auto" w:fill="auto"/>
            <w:noWrap/>
            <w:vAlign w:val="bottom"/>
            <w:hideMark/>
          </w:tcPr>
          <w:p w14:paraId="62BC190D"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5.32</w:t>
            </w:r>
          </w:p>
        </w:tc>
        <w:tc>
          <w:tcPr>
            <w:tcW w:w="912" w:type="dxa"/>
            <w:tcBorders>
              <w:top w:val="nil"/>
              <w:left w:val="nil"/>
              <w:bottom w:val="single" w:sz="4" w:space="0" w:color="auto"/>
              <w:right w:val="single" w:sz="4" w:space="0" w:color="auto"/>
            </w:tcBorders>
            <w:shd w:val="clear" w:color="auto" w:fill="auto"/>
            <w:vAlign w:val="center"/>
            <w:hideMark/>
          </w:tcPr>
          <w:p w14:paraId="6519E874"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auto"/>
            <w:noWrap/>
            <w:vAlign w:val="bottom"/>
            <w:hideMark/>
          </w:tcPr>
          <w:p w14:paraId="2DF79716"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7.35</w:t>
            </w:r>
          </w:p>
        </w:tc>
        <w:tc>
          <w:tcPr>
            <w:tcW w:w="912" w:type="dxa"/>
            <w:tcBorders>
              <w:top w:val="nil"/>
              <w:left w:val="nil"/>
              <w:bottom w:val="single" w:sz="4" w:space="0" w:color="auto"/>
              <w:right w:val="single" w:sz="4" w:space="0" w:color="auto"/>
            </w:tcBorders>
            <w:shd w:val="clear" w:color="auto" w:fill="auto"/>
            <w:vAlign w:val="center"/>
            <w:hideMark/>
          </w:tcPr>
          <w:p w14:paraId="0E6C04E1"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0%</w:t>
            </w:r>
          </w:p>
        </w:tc>
      </w:tr>
      <w:tr w:rsidR="0059677F" w:rsidRPr="00F6100C" w14:paraId="7EB0460D" w14:textId="77777777" w:rsidTr="000E77BF">
        <w:trPr>
          <w:trHeight w:val="290"/>
        </w:trPr>
        <w:tc>
          <w:tcPr>
            <w:tcW w:w="2122" w:type="dxa"/>
            <w:vMerge/>
            <w:tcBorders>
              <w:top w:val="nil"/>
              <w:left w:val="single" w:sz="4" w:space="0" w:color="auto"/>
              <w:bottom w:val="single" w:sz="4" w:space="0" w:color="auto"/>
              <w:right w:val="single" w:sz="4" w:space="0" w:color="auto"/>
            </w:tcBorders>
            <w:vAlign w:val="center"/>
            <w:hideMark/>
          </w:tcPr>
          <w:p w14:paraId="7003CB35" w14:textId="77777777" w:rsidR="0059677F" w:rsidRPr="00206ABC" w:rsidRDefault="0059677F" w:rsidP="000E77BF">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5C9792B5" w14:textId="77777777" w:rsidR="0059677F" w:rsidRPr="00206ABC" w:rsidRDefault="0059677F" w:rsidP="000E77BF">
            <w:pPr>
              <w:rPr>
                <w:rFonts w:ascii="Arial" w:hAnsi="Arial" w:cs="Arial"/>
                <w:color w:val="000000"/>
                <w:sz w:val="20"/>
                <w:szCs w:val="20"/>
                <w:lang w:eastAsia="ja-JP"/>
              </w:rPr>
            </w:pPr>
            <w:r w:rsidRPr="00206ABC">
              <w:rPr>
                <w:rFonts w:ascii="Arial" w:hAnsi="Arial" w:cs="Arial"/>
                <w:color w:val="000000"/>
                <w:sz w:val="20"/>
                <w:szCs w:val="20"/>
                <w:lang w:eastAsia="ja-JP"/>
              </w:rPr>
              <w:t>80ms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3DE41DAB"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 xml:space="preserve">Ns =8 (New) </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735302E2"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4.71</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52A2892B"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11%</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40751435"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6.92</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66950A12"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6%</w:t>
            </w:r>
          </w:p>
        </w:tc>
      </w:tr>
      <w:tr w:rsidR="0059677F" w:rsidRPr="00F6100C" w14:paraId="36C99E97" w14:textId="77777777" w:rsidTr="000E77BF">
        <w:trPr>
          <w:trHeight w:val="290"/>
        </w:trPr>
        <w:tc>
          <w:tcPr>
            <w:tcW w:w="2122" w:type="dxa"/>
            <w:vMerge/>
            <w:tcBorders>
              <w:top w:val="nil"/>
              <w:left w:val="single" w:sz="4" w:space="0" w:color="auto"/>
              <w:bottom w:val="single" w:sz="4" w:space="0" w:color="auto"/>
              <w:right w:val="single" w:sz="4" w:space="0" w:color="auto"/>
            </w:tcBorders>
            <w:vAlign w:val="center"/>
            <w:hideMark/>
          </w:tcPr>
          <w:p w14:paraId="4B7C680B" w14:textId="77777777" w:rsidR="0059677F" w:rsidRPr="00206ABC" w:rsidRDefault="0059677F" w:rsidP="000E77BF">
            <w:pPr>
              <w:rPr>
                <w:rFonts w:ascii="Arial"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7EB049A1" w14:textId="77777777" w:rsidR="0059677F" w:rsidRPr="00206ABC" w:rsidRDefault="0059677F" w:rsidP="000E77BF">
            <w:pPr>
              <w:rPr>
                <w:rFonts w:ascii="Arial" w:hAnsi="Arial" w:cs="Arial"/>
                <w:color w:val="000000"/>
                <w:sz w:val="20"/>
                <w:szCs w:val="20"/>
                <w:lang w:eastAsia="ja-JP"/>
              </w:rPr>
            </w:pPr>
            <w:r w:rsidRPr="00206ABC">
              <w:rPr>
                <w:rFonts w:ascii="Arial" w:hAnsi="Arial" w:cs="Arial"/>
                <w:color w:val="000000"/>
                <w:sz w:val="20"/>
                <w:szCs w:val="20"/>
                <w:lang w:eastAsia="ja-JP"/>
              </w:rPr>
              <w:t>160ms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C05AB4F" w14:textId="77777777" w:rsidR="0059677F" w:rsidRPr="00206ABC" w:rsidRDefault="0059677F" w:rsidP="000E77BF">
            <w:pPr>
              <w:jc w:val="center"/>
              <w:rPr>
                <w:rFonts w:ascii="Arial" w:hAnsi="Arial" w:cs="Arial"/>
                <w:color w:val="000000"/>
                <w:sz w:val="20"/>
                <w:szCs w:val="20"/>
                <w:lang w:eastAsia="ja-JP"/>
              </w:rPr>
            </w:pPr>
            <w:r w:rsidRPr="00206ABC">
              <w:rPr>
                <w:rFonts w:ascii="Arial" w:hAnsi="Arial" w:cs="Arial"/>
                <w:color w:val="000000"/>
                <w:sz w:val="20"/>
                <w:szCs w:val="20"/>
                <w:lang w:eastAsia="ja-JP"/>
              </w:rPr>
              <w:t>Ns=16(New)</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1089DF6D"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4.29</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144D1764"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17%</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6C87130B"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6.61</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14F28449" w14:textId="77777777" w:rsidR="0059677F" w:rsidRPr="00206ABC" w:rsidRDefault="0059677F" w:rsidP="000E77BF">
            <w:pPr>
              <w:jc w:val="right"/>
              <w:rPr>
                <w:rFonts w:ascii="Arial" w:hAnsi="Arial" w:cs="Arial"/>
                <w:color w:val="000000"/>
                <w:sz w:val="20"/>
                <w:szCs w:val="20"/>
                <w:lang w:eastAsia="ja-JP"/>
              </w:rPr>
            </w:pPr>
            <w:r w:rsidRPr="00206ABC">
              <w:rPr>
                <w:rFonts w:ascii="Arial" w:hAnsi="Arial" w:cs="Arial"/>
                <w:color w:val="000000"/>
                <w:sz w:val="20"/>
                <w:szCs w:val="20"/>
                <w:lang w:eastAsia="ja-JP"/>
              </w:rPr>
              <w:t>10%</w:t>
            </w:r>
          </w:p>
        </w:tc>
      </w:tr>
    </w:tbl>
    <w:p w14:paraId="6FD5D7ED" w14:textId="77777777" w:rsidR="0059677F" w:rsidRDefault="0059677F" w:rsidP="0059677F">
      <w:pPr>
        <w:spacing w:beforeLines="100" w:before="240" w:afterLines="100" w:after="240"/>
        <w:jc w:val="both"/>
        <w:rPr>
          <w:rFonts w:ascii="Arial" w:hAnsi="Arial" w:cs="Arial"/>
          <w:lang w:val="en-GB"/>
        </w:rPr>
      </w:pPr>
      <w:r>
        <w:rPr>
          <w:rFonts w:ascii="Arial" w:hAnsi="Arial" w:cs="Arial"/>
          <w:lang w:val="en-GB"/>
        </w:rPr>
        <w:t xml:space="preserve"> </w:t>
      </w:r>
    </w:p>
    <w:p w14:paraId="79C98D77" w14:textId="77777777" w:rsidR="0059677F" w:rsidRDefault="0059677F" w:rsidP="0059677F">
      <w:pPr>
        <w:pStyle w:val="Observation"/>
        <w:numPr>
          <w:ilvl w:val="0"/>
          <w:numId w:val="3"/>
        </w:numPr>
        <w:ind w:left="1560" w:hanging="1560"/>
      </w:pPr>
      <w:bookmarkStart w:id="85" w:name="_Toc163079716"/>
      <w:bookmarkStart w:id="86" w:name="_Toc166252134"/>
      <w:r>
        <w:t>For paging capacity of ~1 PO per radio frame, further condensed paging provides following NES gains over legacy condensed paging,</w:t>
      </w:r>
      <w:bookmarkEnd w:id="85"/>
      <w:bookmarkEnd w:id="86"/>
      <w:r>
        <w:t xml:space="preserve"> </w:t>
      </w:r>
    </w:p>
    <w:p w14:paraId="4444FD80" w14:textId="77777777" w:rsidR="0059677F" w:rsidRDefault="0059677F" w:rsidP="0059677F">
      <w:pPr>
        <w:pStyle w:val="Observation"/>
        <w:numPr>
          <w:ilvl w:val="1"/>
          <w:numId w:val="3"/>
        </w:numPr>
      </w:pPr>
      <w:bookmarkStart w:id="87" w:name="_Toc163079717"/>
      <w:bookmarkStart w:id="88" w:name="_Toc166252135"/>
      <w:r>
        <w:t>11</w:t>
      </w:r>
      <w:r w:rsidRPr="00E21567">
        <w:t xml:space="preserve">% </w:t>
      </w:r>
      <w:r>
        <w:t>~</w:t>
      </w:r>
      <w:r w:rsidRPr="00E21567">
        <w:t xml:space="preserve"> </w:t>
      </w:r>
      <w:r>
        <w:t>17</w:t>
      </w:r>
      <w:r w:rsidRPr="00E21567">
        <w:t xml:space="preserve">% </w:t>
      </w:r>
      <w:r>
        <w:t>(single beam) when</w:t>
      </w:r>
      <w:r w:rsidRPr="00E21567">
        <w:t xml:space="preserve"> SSB</w:t>
      </w:r>
      <w:r>
        <w:t>/</w:t>
      </w:r>
      <w:r w:rsidRPr="00E21567">
        <w:t>PRACH</w:t>
      </w:r>
      <w:r>
        <w:t>/SIB1 periodicity is 160ms</w:t>
      </w:r>
      <w:bookmarkEnd w:id="87"/>
      <w:r>
        <w:t>.</w:t>
      </w:r>
      <w:bookmarkEnd w:id="88"/>
      <w:r>
        <w:t xml:space="preserve"> </w:t>
      </w:r>
    </w:p>
    <w:p w14:paraId="25BDE74D" w14:textId="77777777" w:rsidR="0059677F" w:rsidRDefault="0059677F" w:rsidP="0059677F">
      <w:pPr>
        <w:pStyle w:val="Observation"/>
        <w:numPr>
          <w:ilvl w:val="1"/>
          <w:numId w:val="3"/>
        </w:numPr>
      </w:pPr>
      <w:bookmarkStart w:id="89" w:name="_Toc163079718"/>
      <w:bookmarkStart w:id="90" w:name="_Toc166252136"/>
      <w:r>
        <w:t>6</w:t>
      </w:r>
      <w:r w:rsidRPr="00E21567">
        <w:t xml:space="preserve">% </w:t>
      </w:r>
      <w:r>
        <w:t>~</w:t>
      </w:r>
      <w:r w:rsidRPr="00E21567">
        <w:t xml:space="preserve"> </w:t>
      </w:r>
      <w:r>
        <w:t>10</w:t>
      </w:r>
      <w:r w:rsidRPr="00E21567">
        <w:t xml:space="preserve">% </w:t>
      </w:r>
      <w:r>
        <w:t>(four beams) when</w:t>
      </w:r>
      <w:r w:rsidRPr="00E21567">
        <w:t xml:space="preserve"> SSB</w:t>
      </w:r>
      <w:r>
        <w:t>/</w:t>
      </w:r>
      <w:r w:rsidRPr="00E21567">
        <w:t>PRACH</w:t>
      </w:r>
      <w:r>
        <w:t>/SIB1 periodicity is 160ms</w:t>
      </w:r>
      <w:bookmarkEnd w:id="89"/>
      <w:r>
        <w:t>.</w:t>
      </w:r>
      <w:bookmarkEnd w:id="90"/>
    </w:p>
    <w:p w14:paraId="015F399C" w14:textId="77777777" w:rsidR="0059677F" w:rsidRPr="0096162D" w:rsidRDefault="0059677F" w:rsidP="0059677F">
      <w:pPr>
        <w:pStyle w:val="Observation"/>
        <w:numPr>
          <w:ilvl w:val="1"/>
          <w:numId w:val="3"/>
        </w:numPr>
      </w:pPr>
      <w:bookmarkStart w:id="91" w:name="_Toc163079719"/>
      <w:bookmarkStart w:id="92" w:name="_Toc166252137"/>
      <w:r>
        <w:t>No gains observed (for single beam and four beams) when SSB/PRACH/SIB1 periodicity is 20ms/10ms/40ms or 40ms</w:t>
      </w:r>
      <w:bookmarkEnd w:id="91"/>
      <w:r>
        <w:t>/40ms/40ms.</w:t>
      </w:r>
      <w:bookmarkEnd w:id="92"/>
    </w:p>
    <w:p w14:paraId="3D31D7D6" w14:textId="77777777" w:rsidR="0059677F" w:rsidRDefault="0059677F" w:rsidP="0059677F">
      <w:pPr>
        <w:tabs>
          <w:tab w:val="left" w:pos="1701"/>
        </w:tabs>
        <w:spacing w:after="120" w:line="256" w:lineRule="auto"/>
        <w:jc w:val="both"/>
        <w:rPr>
          <w:rFonts w:ascii="Arial" w:hAnsi="Arial" w:cs="Arial"/>
          <w:b/>
          <w:bCs/>
          <w:lang w:val="en-GB"/>
        </w:rPr>
      </w:pPr>
    </w:p>
    <w:p w14:paraId="3C31EF21" w14:textId="77777777" w:rsidR="0059677F" w:rsidRPr="00060DDE" w:rsidRDefault="0059677F" w:rsidP="0059677F">
      <w:pPr>
        <w:pStyle w:val="Heading2"/>
        <w:tabs>
          <w:tab w:val="num" w:pos="360"/>
          <w:tab w:val="num" w:pos="1440"/>
        </w:tabs>
        <w:jc w:val="both"/>
        <w:rPr>
          <w:rFonts w:ascii="Arial" w:hAnsi="Arial" w:cs="Arial"/>
          <w:b/>
          <w:bCs/>
          <w:color w:val="auto"/>
          <w:lang w:val="en-GB"/>
        </w:rPr>
      </w:pPr>
      <w:r w:rsidRPr="004B3167">
        <w:rPr>
          <w:rFonts w:ascii="Arial" w:hAnsi="Arial" w:cs="Arial"/>
          <w:b/>
          <w:bCs/>
          <w:color w:val="auto"/>
          <w:lang w:val="en-GB"/>
        </w:rPr>
        <w:t xml:space="preserve">Joint adaptation </w:t>
      </w:r>
    </w:p>
    <w:p w14:paraId="62AFA7BE" w14:textId="77777777" w:rsidR="0059677F" w:rsidRDefault="0059677F" w:rsidP="0059677F">
      <w:pPr>
        <w:jc w:val="both"/>
        <w:rPr>
          <w:lang w:val="en-GB" w:eastAsia="ja-JP"/>
        </w:rPr>
      </w:pPr>
    </w:p>
    <w:p w14:paraId="07C30D4D" w14:textId="77777777" w:rsidR="0059677F" w:rsidRDefault="0059677F" w:rsidP="0059677F">
      <w:pPr>
        <w:jc w:val="both"/>
        <w:rPr>
          <w:rFonts w:ascii="Arial" w:eastAsia="DengXian" w:hAnsi="Arial" w:cs="Arial"/>
          <w:lang w:val="en-GB"/>
        </w:rPr>
      </w:pPr>
      <w:r w:rsidRPr="004B3167">
        <w:rPr>
          <w:rFonts w:ascii="Arial" w:eastAsia="DengXian" w:hAnsi="Arial" w:cs="Arial"/>
          <w:lang w:val="en-GB"/>
        </w:rPr>
        <w:t>A</w:t>
      </w:r>
      <w:r>
        <w:rPr>
          <w:rFonts w:ascii="Arial" w:eastAsia="DengXian" w:hAnsi="Arial" w:cs="Arial"/>
          <w:lang w:val="en-GB"/>
        </w:rPr>
        <w:t xml:space="preserve">s mentioned in earlier sections, we support dynamic adaptation of SSB and PRACH functionalities. </w:t>
      </w:r>
      <w:r w:rsidRPr="00C31945">
        <w:rPr>
          <w:rFonts w:ascii="Arial" w:eastAsia="DengXian" w:hAnsi="Arial" w:cs="Arial"/>
          <w:lang w:val="en-GB"/>
        </w:rPr>
        <w:t xml:space="preserve"> </w:t>
      </w:r>
      <w:r>
        <w:rPr>
          <w:rFonts w:ascii="Arial" w:eastAsia="DengXian" w:hAnsi="Arial" w:cs="Arial"/>
          <w:lang w:val="en-GB"/>
        </w:rPr>
        <w:t>Our</w:t>
      </w:r>
      <w:r w:rsidRPr="00C31945">
        <w:rPr>
          <w:rFonts w:ascii="Arial" w:eastAsia="DengXian" w:hAnsi="Arial" w:cs="Arial"/>
          <w:lang w:val="en-GB"/>
        </w:rPr>
        <w:t xml:space="preserve"> prefer</w:t>
      </w:r>
      <w:r>
        <w:rPr>
          <w:rFonts w:ascii="Arial" w:eastAsia="DengXian" w:hAnsi="Arial" w:cs="Arial"/>
          <w:lang w:val="en-GB"/>
        </w:rPr>
        <w:t>ence</w:t>
      </w:r>
      <w:r w:rsidRPr="00C31945">
        <w:rPr>
          <w:rFonts w:ascii="Arial" w:eastAsia="DengXian" w:hAnsi="Arial" w:cs="Arial"/>
          <w:lang w:val="en-GB"/>
        </w:rPr>
        <w:t xml:space="preserve"> </w:t>
      </w:r>
      <w:r>
        <w:rPr>
          <w:rFonts w:ascii="Arial" w:eastAsia="DengXian" w:hAnsi="Arial" w:cs="Arial"/>
          <w:lang w:val="en-GB"/>
        </w:rPr>
        <w:t xml:space="preserve">would be to enable </w:t>
      </w:r>
      <w:r w:rsidRPr="00C31945">
        <w:rPr>
          <w:rFonts w:ascii="Arial" w:eastAsia="DengXian" w:hAnsi="Arial" w:cs="Arial"/>
          <w:lang w:val="en-GB"/>
        </w:rPr>
        <w:t xml:space="preserve">a common DCI </w:t>
      </w:r>
      <w:r>
        <w:rPr>
          <w:rFonts w:ascii="Arial" w:eastAsia="DengXian" w:hAnsi="Arial" w:cs="Arial"/>
          <w:lang w:val="en-GB"/>
        </w:rPr>
        <w:t xml:space="preserve">design </w:t>
      </w:r>
      <w:r w:rsidRPr="00C31945">
        <w:rPr>
          <w:rFonts w:ascii="Arial" w:eastAsia="DengXian" w:hAnsi="Arial" w:cs="Arial"/>
          <w:lang w:val="en-GB"/>
        </w:rPr>
        <w:t xml:space="preserve">which </w:t>
      </w:r>
      <w:r>
        <w:rPr>
          <w:rFonts w:ascii="Arial" w:eastAsia="DengXian" w:hAnsi="Arial" w:cs="Arial"/>
          <w:lang w:val="en-GB"/>
        </w:rPr>
        <w:t xml:space="preserve">can </w:t>
      </w:r>
      <w:r w:rsidRPr="00C31945">
        <w:rPr>
          <w:rFonts w:ascii="Arial" w:eastAsia="DengXian" w:hAnsi="Arial" w:cs="Arial"/>
          <w:lang w:val="en-GB"/>
        </w:rPr>
        <w:t xml:space="preserve">control </w:t>
      </w:r>
      <w:r>
        <w:rPr>
          <w:rFonts w:ascii="Arial" w:eastAsia="DengXian" w:hAnsi="Arial" w:cs="Arial"/>
          <w:lang w:val="en-GB"/>
        </w:rPr>
        <w:t>these</w:t>
      </w:r>
      <w:r w:rsidRPr="00C31945">
        <w:rPr>
          <w:rFonts w:ascii="Arial" w:eastAsia="DengXian" w:hAnsi="Arial" w:cs="Arial"/>
          <w:lang w:val="en-GB"/>
        </w:rPr>
        <w:t xml:space="preserve"> </w:t>
      </w:r>
      <w:r>
        <w:rPr>
          <w:rFonts w:ascii="Arial" w:eastAsia="DengXian" w:hAnsi="Arial" w:cs="Arial"/>
          <w:lang w:val="en-GB"/>
        </w:rPr>
        <w:t>adaptations, but this needs feasibility study</w:t>
      </w:r>
      <w:r w:rsidRPr="00C31945">
        <w:rPr>
          <w:rFonts w:ascii="Arial" w:eastAsia="DengXian" w:hAnsi="Arial" w:cs="Arial"/>
          <w:lang w:val="en-GB"/>
        </w:rPr>
        <w:t>.</w:t>
      </w:r>
      <w:r>
        <w:rPr>
          <w:rFonts w:ascii="Arial" w:eastAsia="DengXian" w:hAnsi="Arial" w:cs="Arial"/>
          <w:lang w:val="en-GB"/>
        </w:rPr>
        <w:t xml:space="preserve"> We note that while the DCI design may be common, it should be flexible enough to facilitate adaptation of the individual features (e.g., adapting PRACH only or adapting SSB only, e.g. for SCell case, etc) as well. </w:t>
      </w:r>
      <w:r w:rsidRPr="00C31945">
        <w:rPr>
          <w:rFonts w:ascii="Arial" w:eastAsia="DengXian" w:hAnsi="Arial" w:cs="Arial"/>
          <w:lang w:val="en-GB"/>
        </w:rPr>
        <w:t xml:space="preserve">More details on this DCI, e.g., DCI size and contents, need to be discussed as well. </w:t>
      </w:r>
    </w:p>
    <w:p w14:paraId="60E1FE50" w14:textId="77777777" w:rsidR="0059677F" w:rsidRDefault="0059677F" w:rsidP="0059677F">
      <w:pPr>
        <w:jc w:val="both"/>
        <w:rPr>
          <w:rFonts w:ascii="Arial" w:eastAsia="DengXian" w:hAnsi="Arial" w:cs="Arial"/>
          <w:lang w:val="en-GB"/>
        </w:rPr>
      </w:pPr>
      <w:r w:rsidRPr="00C31945">
        <w:rPr>
          <w:rFonts w:ascii="Arial" w:eastAsia="DengXian" w:hAnsi="Arial" w:cs="Arial"/>
          <w:lang w:val="en-GB"/>
        </w:rPr>
        <w:t xml:space="preserve">For the SSB/PRACH adaptation pattern, several practical patterns can be configured in advance through RRC. In addition, we </w:t>
      </w:r>
      <w:r>
        <w:rPr>
          <w:rFonts w:ascii="Arial" w:eastAsia="DengXian" w:hAnsi="Arial" w:cs="Arial"/>
          <w:lang w:val="en-GB"/>
        </w:rPr>
        <w:t>think</w:t>
      </w:r>
      <w:r w:rsidRPr="00C31945">
        <w:rPr>
          <w:rFonts w:ascii="Arial" w:eastAsia="DengXian" w:hAnsi="Arial" w:cs="Arial"/>
          <w:lang w:val="en-GB"/>
        </w:rPr>
        <w:t xml:space="preserve"> that the UE and NW do not necessarily need to be aligned, because the system still works even if a UE misses the message that these additional/auxiliary SSBs or RACH transmission occasions are activated. </w:t>
      </w:r>
    </w:p>
    <w:p w14:paraId="309A6D96" w14:textId="77777777" w:rsidR="00162B47" w:rsidRDefault="00162B47" w:rsidP="0059677F">
      <w:pPr>
        <w:jc w:val="both"/>
        <w:rPr>
          <w:rFonts w:ascii="Arial" w:eastAsia="DengXian" w:hAnsi="Arial" w:cs="Arial"/>
          <w:lang w:val="en-GB"/>
        </w:rPr>
      </w:pPr>
    </w:p>
    <w:p w14:paraId="58E63DDE" w14:textId="77777777" w:rsidR="0059677F" w:rsidRPr="001D197A" w:rsidRDefault="0059677F" w:rsidP="0059677F">
      <w:pPr>
        <w:pStyle w:val="Proposal"/>
        <w:numPr>
          <w:ilvl w:val="0"/>
          <w:numId w:val="4"/>
        </w:numPr>
        <w:rPr>
          <w:rFonts w:cs="Arial"/>
          <w:lang w:val="en-CA"/>
        </w:rPr>
      </w:pPr>
      <w:bookmarkStart w:id="93" w:name="_Toc163213201"/>
      <w:bookmarkStart w:id="94" w:name="_Toc166252161"/>
      <w:r>
        <w:rPr>
          <w:rFonts w:cs="Arial"/>
          <w:lang w:val="en-CA"/>
        </w:rPr>
        <w:t>Study feasibility to support d</w:t>
      </w:r>
      <w:r w:rsidRPr="004B3167">
        <w:rPr>
          <w:rFonts w:cs="Arial"/>
          <w:lang w:val="en-CA"/>
        </w:rPr>
        <w:t>ynamic adaptation for</w:t>
      </w:r>
      <w:r w:rsidRPr="001D197A">
        <w:rPr>
          <w:rFonts w:cs="Arial"/>
          <w:lang w:val="en-CA"/>
        </w:rPr>
        <w:t xml:space="preserve"> SSB</w:t>
      </w:r>
      <w:r>
        <w:rPr>
          <w:rFonts w:cs="Arial"/>
          <w:lang w:val="en-CA"/>
        </w:rPr>
        <w:t>/</w:t>
      </w:r>
      <w:r w:rsidRPr="001D197A">
        <w:rPr>
          <w:rFonts w:cs="Arial"/>
          <w:lang w:val="en-CA"/>
        </w:rPr>
        <w:t xml:space="preserve">PRACH </w:t>
      </w:r>
      <w:r w:rsidRPr="004B3167">
        <w:rPr>
          <w:rFonts w:cs="Arial"/>
          <w:lang w:val="en-CA"/>
        </w:rPr>
        <w:t>based on a common DCI design</w:t>
      </w:r>
      <w:r>
        <w:rPr>
          <w:rFonts w:cs="Arial"/>
          <w:lang w:val="en-CA"/>
        </w:rPr>
        <w:t>. T</w:t>
      </w:r>
      <w:r w:rsidRPr="004B3167">
        <w:rPr>
          <w:rFonts w:cs="Arial"/>
          <w:lang w:val="en-CA"/>
        </w:rPr>
        <w:t xml:space="preserve">here should be sufficient flexibility to adapt and configure them jointly </w:t>
      </w:r>
      <w:r>
        <w:rPr>
          <w:rFonts w:cs="Arial"/>
          <w:lang w:val="en-CA"/>
        </w:rPr>
        <w:t>or</w:t>
      </w:r>
      <w:r w:rsidRPr="004B3167">
        <w:rPr>
          <w:rFonts w:cs="Arial"/>
          <w:lang w:val="en-CA"/>
        </w:rPr>
        <w:t xml:space="preserve"> independently.</w:t>
      </w:r>
      <w:bookmarkEnd w:id="93"/>
      <w:bookmarkEnd w:id="94"/>
      <w:r w:rsidRPr="004B3167">
        <w:rPr>
          <w:rFonts w:cs="Arial"/>
          <w:lang w:val="en-CA"/>
        </w:rPr>
        <w:t xml:space="preserve"> </w:t>
      </w:r>
    </w:p>
    <w:p w14:paraId="13E062B0" w14:textId="77777777" w:rsidR="0059677F" w:rsidRDefault="0059677F" w:rsidP="0059677F">
      <w:pPr>
        <w:tabs>
          <w:tab w:val="left" w:pos="1701"/>
        </w:tabs>
        <w:spacing w:after="120" w:line="256" w:lineRule="auto"/>
        <w:jc w:val="both"/>
        <w:rPr>
          <w:rFonts w:ascii="Arial" w:hAnsi="Arial" w:cs="Arial"/>
          <w:b/>
          <w:bCs/>
          <w:lang w:val="en-GB"/>
        </w:rPr>
      </w:pPr>
    </w:p>
    <w:p w14:paraId="2236C924" w14:textId="77777777" w:rsidR="0059677F" w:rsidRPr="00303F36" w:rsidRDefault="0059677F" w:rsidP="0059677F">
      <w:pPr>
        <w:keepNext/>
        <w:keepLines/>
        <w:pBdr>
          <w:top w:val="single" w:sz="12" w:space="3" w:color="auto"/>
        </w:pBdr>
        <w:overflowPunct w:val="0"/>
        <w:autoSpaceDE w:val="0"/>
        <w:autoSpaceDN w:val="0"/>
        <w:adjustRightInd w:val="0"/>
        <w:spacing w:before="240" w:after="180"/>
        <w:ind w:left="432" w:hanging="432"/>
        <w:jc w:val="both"/>
        <w:textAlignment w:val="baseline"/>
        <w:outlineLvl w:val="0"/>
        <w:rPr>
          <w:rFonts w:ascii="Arial" w:hAnsi="Arial" w:cs="Arial"/>
          <w:b/>
          <w:sz w:val="36"/>
          <w:szCs w:val="20"/>
          <w:lang w:eastAsia="ja-JP"/>
        </w:rPr>
      </w:pPr>
      <w:bookmarkStart w:id="95" w:name="_Hlk83889356"/>
      <w:bookmarkStart w:id="96" w:name="_Hlk83889312"/>
      <w:r>
        <w:rPr>
          <w:rFonts w:ascii="Arial" w:hAnsi="Arial" w:cs="Arial"/>
          <w:b/>
          <w:sz w:val="36"/>
          <w:szCs w:val="20"/>
          <w:lang w:eastAsia="ja-JP"/>
        </w:rPr>
        <w:t>3</w:t>
      </w:r>
      <w:r>
        <w:rPr>
          <w:rFonts w:ascii="Arial" w:hAnsi="Arial" w:cs="Arial"/>
          <w:b/>
          <w:sz w:val="36"/>
          <w:szCs w:val="20"/>
          <w:lang w:eastAsia="ja-JP"/>
        </w:rPr>
        <w:tab/>
      </w:r>
      <w:r w:rsidRPr="00303F36">
        <w:rPr>
          <w:rFonts w:ascii="Arial" w:hAnsi="Arial" w:cs="Arial"/>
          <w:b/>
          <w:sz w:val="36"/>
          <w:szCs w:val="20"/>
          <w:lang w:eastAsia="ja-JP"/>
        </w:rPr>
        <w:t>Conclusion</w:t>
      </w:r>
    </w:p>
    <w:bookmarkEnd w:id="95"/>
    <w:p w14:paraId="2ACF1D55" w14:textId="77777777" w:rsidR="0059677F" w:rsidRPr="00842DAE" w:rsidRDefault="0059677F" w:rsidP="0059677F">
      <w:pPr>
        <w:spacing w:after="120"/>
        <w:jc w:val="both"/>
        <w:rPr>
          <w:rFonts w:ascii="Arial" w:hAnsi="Arial" w:cs="Arial"/>
        </w:rPr>
      </w:pPr>
      <w:r w:rsidRPr="00303F36">
        <w:rPr>
          <w:rFonts w:ascii="Arial" w:hAnsi="Arial" w:cs="Arial"/>
        </w:rPr>
        <w:t xml:space="preserve">In </w:t>
      </w:r>
      <w:bookmarkStart w:id="97" w:name="_Hlk83889481"/>
      <w:r w:rsidRPr="00303F36">
        <w:rPr>
          <w:rFonts w:ascii="Arial" w:hAnsi="Arial" w:cs="Arial"/>
        </w:rPr>
        <w:t xml:space="preserve">previous sections, the following observations were made: </w:t>
      </w:r>
    </w:p>
    <w:bookmarkEnd w:id="96"/>
    <w:bookmarkEnd w:id="97"/>
    <w:p w14:paraId="1C02C66E" w14:textId="204B6434" w:rsidR="00E802FC" w:rsidRDefault="0059677F">
      <w:pPr>
        <w:pStyle w:val="TableofFigures"/>
        <w:tabs>
          <w:tab w:val="right" w:leader="dot" w:pos="9629"/>
        </w:tabs>
        <w:rPr>
          <w:rFonts w:asciiTheme="minorHAnsi" w:eastAsiaTheme="minorEastAsia" w:hAnsiTheme="minorHAnsi"/>
          <w:b w:val="0"/>
          <w:noProof/>
          <w:kern w:val="2"/>
          <w14:ligatures w14:val="standardContextual"/>
        </w:rPr>
      </w:pPr>
      <w:r>
        <w:rPr>
          <w:b w:val="0"/>
          <w:bCs/>
        </w:rPr>
        <w:fldChar w:fldCharType="begin"/>
      </w:r>
      <w:r w:rsidRPr="00EB7C05">
        <w:rPr>
          <w:b w:val="0"/>
        </w:rPr>
        <w:instrText xml:space="preserve"> TOC \f O \n \h \z \t "Observation" \c </w:instrText>
      </w:r>
      <w:r>
        <w:rPr>
          <w:b w:val="0"/>
          <w:bCs/>
        </w:rPr>
        <w:fldChar w:fldCharType="separate"/>
      </w:r>
      <w:hyperlink w:anchor="_Toc166252115" w:history="1">
        <w:r w:rsidR="00E802FC" w:rsidRPr="00494693">
          <w:rPr>
            <w:rStyle w:val="Hyperlink"/>
            <w:noProof/>
          </w:rPr>
          <w:t>Observation 1</w:t>
        </w:r>
        <w:r w:rsidR="00E802FC">
          <w:rPr>
            <w:rFonts w:asciiTheme="minorHAnsi" w:eastAsiaTheme="minorEastAsia" w:hAnsiTheme="minorHAnsi"/>
            <w:b w:val="0"/>
            <w:noProof/>
            <w:kern w:val="2"/>
            <w14:ligatures w14:val="standardContextual"/>
          </w:rPr>
          <w:tab/>
        </w:r>
        <w:r w:rsidR="00E802FC" w:rsidRPr="00494693">
          <w:rPr>
            <w:rStyle w:val="Hyperlink"/>
            <w:noProof/>
          </w:rPr>
          <w:t>Dynamic adaptation of SSB periodicity provides additional network energy savings, e.g., 16% when SSB periodicity changes from 20ms to 40ms.</w:t>
        </w:r>
      </w:hyperlink>
    </w:p>
    <w:p w14:paraId="31832ED2" w14:textId="20E39CAB"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16" w:history="1">
        <w:r w:rsidR="00E802FC" w:rsidRPr="00494693">
          <w:rPr>
            <w:rStyle w:val="Hyperlink"/>
            <w:noProof/>
          </w:rPr>
          <w:t>Observation 2</w:t>
        </w:r>
        <w:r w:rsidR="00E802FC">
          <w:rPr>
            <w:rFonts w:asciiTheme="minorHAnsi" w:eastAsiaTheme="minorEastAsia" w:hAnsiTheme="minorHAnsi"/>
            <w:b w:val="0"/>
            <w:noProof/>
            <w:kern w:val="2"/>
            <w14:ligatures w14:val="standardContextual"/>
          </w:rPr>
          <w:tab/>
        </w:r>
        <w:r w:rsidR="00E802FC" w:rsidRPr="00494693">
          <w:rPr>
            <w:rStyle w:val="Hyperlink"/>
            <w:noProof/>
          </w:rPr>
          <w:t>When dynamic adaptation of SSB periodicity is used for a carrier, legacy UEs may not be able to use the carrier.</w:t>
        </w:r>
      </w:hyperlink>
    </w:p>
    <w:p w14:paraId="10A8055C" w14:textId="6E148AC5"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17" w:history="1">
        <w:r w:rsidR="00E802FC" w:rsidRPr="00494693">
          <w:rPr>
            <w:rStyle w:val="Hyperlink"/>
            <w:noProof/>
          </w:rPr>
          <w:t>Observation 3</w:t>
        </w:r>
        <w:r w:rsidR="00E802FC">
          <w:rPr>
            <w:rFonts w:asciiTheme="minorHAnsi" w:eastAsiaTheme="minorEastAsia" w:hAnsiTheme="minorHAnsi"/>
            <w:b w:val="0"/>
            <w:noProof/>
            <w:kern w:val="2"/>
            <w14:ligatures w14:val="standardContextual"/>
          </w:rPr>
          <w:tab/>
        </w:r>
        <w:r w:rsidR="00E802FC" w:rsidRPr="00494693">
          <w:rPr>
            <w:rStyle w:val="Hyperlink"/>
            <w:noProof/>
          </w:rPr>
          <w:t>In legacy specifications the periodicity of SSB can be 160ms for non-initial-access cells.</w:t>
        </w:r>
      </w:hyperlink>
    </w:p>
    <w:p w14:paraId="18E25073" w14:textId="56D028B9"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18" w:history="1">
        <w:r w:rsidR="00E802FC" w:rsidRPr="00494693">
          <w:rPr>
            <w:rStyle w:val="Hyperlink"/>
            <w:noProof/>
          </w:rPr>
          <w:t>Observation 4</w:t>
        </w:r>
        <w:r w:rsidR="00E802FC">
          <w:rPr>
            <w:rFonts w:asciiTheme="minorHAnsi" w:eastAsiaTheme="minorEastAsia" w:hAnsiTheme="minorHAnsi"/>
            <w:b w:val="0"/>
            <w:noProof/>
            <w:kern w:val="2"/>
            <w14:ligatures w14:val="standardContextual"/>
          </w:rPr>
          <w:tab/>
        </w:r>
        <w:r w:rsidR="00E802FC" w:rsidRPr="00494693">
          <w:rPr>
            <w:rStyle w:val="Hyperlink"/>
            <w:noProof/>
          </w:rPr>
          <w:t>Adapting SSBs for UEs in idle/inactive such that additional SSBs are added on top of low-periodicity SSBs prior to POs makes deployment of cells with low-rate SSBs more beneficial.</w:t>
        </w:r>
      </w:hyperlink>
    </w:p>
    <w:p w14:paraId="3D34FDD4" w14:textId="311EE44B"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19" w:history="1">
        <w:r w:rsidR="00E802FC" w:rsidRPr="00494693">
          <w:rPr>
            <w:rStyle w:val="Hyperlink"/>
            <w:noProof/>
          </w:rPr>
          <w:t>Observation 5</w:t>
        </w:r>
        <w:r w:rsidR="00E802FC">
          <w:rPr>
            <w:rFonts w:asciiTheme="minorHAnsi" w:eastAsiaTheme="minorEastAsia" w:hAnsiTheme="minorHAnsi"/>
            <w:b w:val="0"/>
            <w:noProof/>
            <w:kern w:val="2"/>
            <w14:ligatures w14:val="standardContextual"/>
          </w:rPr>
          <w:tab/>
        </w:r>
        <w:r w:rsidR="00E802FC" w:rsidRPr="00494693">
          <w:rPr>
            <w:rStyle w:val="Hyperlink"/>
            <w:noProof/>
          </w:rPr>
          <w:t>For adapting SSB that is CD-SSB, mechanisms such as cell barring are needed to prevent legacy UEs from doing initial access on cell operating with adaptation of SSB in time-domain.</w:t>
        </w:r>
      </w:hyperlink>
    </w:p>
    <w:p w14:paraId="34FA94BE" w14:textId="02ACD2B6"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20" w:history="1">
        <w:r w:rsidR="00E802FC" w:rsidRPr="00494693">
          <w:rPr>
            <w:rStyle w:val="Hyperlink"/>
            <w:noProof/>
          </w:rPr>
          <w:t>Observation 6</w:t>
        </w:r>
        <w:r w:rsidR="00E802FC">
          <w:rPr>
            <w:rFonts w:asciiTheme="minorHAnsi" w:eastAsiaTheme="minorEastAsia" w:hAnsiTheme="minorHAnsi"/>
            <w:b w:val="0"/>
            <w:noProof/>
            <w:kern w:val="2"/>
            <w14:ligatures w14:val="standardContextual"/>
          </w:rPr>
          <w:tab/>
        </w:r>
        <w:r w:rsidR="00E802FC" w:rsidRPr="00494693">
          <w:rPr>
            <w:rStyle w:val="Hyperlink"/>
            <w:noProof/>
          </w:rPr>
          <w:t>Optimization on the timescale of individual SSB bursts only provides limited energy savings gains at a high cost in terms of standardization effort and legacy impact.</w:t>
        </w:r>
      </w:hyperlink>
    </w:p>
    <w:p w14:paraId="0C2917FD" w14:textId="44B922A5"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21" w:history="1">
        <w:r w:rsidR="00E802FC" w:rsidRPr="00494693">
          <w:rPr>
            <w:rStyle w:val="Hyperlink"/>
            <w:noProof/>
          </w:rPr>
          <w:t>Observation 7</w:t>
        </w:r>
        <w:r w:rsidR="00E802FC">
          <w:rPr>
            <w:rFonts w:asciiTheme="minorHAnsi" w:eastAsiaTheme="minorEastAsia" w:hAnsiTheme="minorHAnsi"/>
            <w:b w:val="0"/>
            <w:noProof/>
            <w:kern w:val="2"/>
            <w14:ligatures w14:val="standardContextual"/>
          </w:rPr>
          <w:tab/>
        </w:r>
        <w:r w:rsidR="00E802FC" w:rsidRPr="00494693">
          <w:rPr>
            <w:rStyle w:val="Hyperlink"/>
            <w:noProof/>
          </w:rPr>
          <w:t>Applying the cell DTX operation for adaptation of SSB is not necessary as the SSB provision rate and cell DTX operation cycle may not be fully correlated.</w:t>
        </w:r>
      </w:hyperlink>
    </w:p>
    <w:p w14:paraId="1F8A0C05" w14:textId="0E0A5878"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22" w:history="1">
        <w:r w:rsidR="00E802FC" w:rsidRPr="00494693">
          <w:rPr>
            <w:rStyle w:val="Hyperlink"/>
            <w:noProof/>
          </w:rPr>
          <w:t>Observation 8</w:t>
        </w:r>
        <w:r w:rsidR="00E802FC">
          <w:rPr>
            <w:rFonts w:asciiTheme="minorHAnsi" w:eastAsiaTheme="minorEastAsia" w:hAnsiTheme="minorHAnsi"/>
            <w:b w:val="0"/>
            <w:noProof/>
            <w:kern w:val="2"/>
            <w14:ligatures w14:val="standardContextual"/>
          </w:rPr>
          <w:tab/>
        </w:r>
        <w:r w:rsidR="00E802FC" w:rsidRPr="00494693">
          <w:rPr>
            <w:rStyle w:val="Hyperlink"/>
            <w:noProof/>
          </w:rPr>
          <w:t>PRACH resources cannot be dynamically adjusted to accommodate changes in traffic load or demand effectively according to the current 3GPP specifications.</w:t>
        </w:r>
      </w:hyperlink>
    </w:p>
    <w:p w14:paraId="0DFBDDC2" w14:textId="5412718A"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23" w:history="1">
        <w:r w:rsidR="00E802FC" w:rsidRPr="00494693">
          <w:rPr>
            <w:rStyle w:val="Hyperlink"/>
            <w:noProof/>
          </w:rPr>
          <w:t>Observation 9</w:t>
        </w:r>
        <w:r w:rsidR="00E802FC">
          <w:rPr>
            <w:rFonts w:asciiTheme="minorHAnsi" w:eastAsiaTheme="minorEastAsia" w:hAnsiTheme="minorHAnsi"/>
            <w:b w:val="0"/>
            <w:noProof/>
            <w:kern w:val="2"/>
            <w14:ligatures w14:val="standardContextual"/>
          </w:rPr>
          <w:tab/>
        </w:r>
        <w:r w:rsidR="00E802FC" w:rsidRPr="00494693">
          <w:rPr>
            <w:rStyle w:val="Hyperlink"/>
            <w:noProof/>
          </w:rPr>
          <w:t>Adaptation of PRACH in time domain without SI update is necessary.</w:t>
        </w:r>
      </w:hyperlink>
    </w:p>
    <w:p w14:paraId="127708F6" w14:textId="5EDEEB4D"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24" w:history="1">
        <w:r w:rsidR="00E802FC" w:rsidRPr="00494693">
          <w:rPr>
            <w:rStyle w:val="Hyperlink"/>
            <w:rFonts w:cs="Arial"/>
            <w:noProof/>
            <w:lang w:val="en-CA"/>
          </w:rPr>
          <w:t>Observation 10</w:t>
        </w:r>
        <w:r w:rsidR="00E802FC">
          <w:rPr>
            <w:rFonts w:asciiTheme="minorHAnsi" w:eastAsiaTheme="minorEastAsia" w:hAnsiTheme="minorHAnsi"/>
            <w:b w:val="0"/>
            <w:noProof/>
            <w:kern w:val="2"/>
            <w14:ligatures w14:val="standardContextual"/>
          </w:rPr>
          <w:tab/>
        </w:r>
        <w:r w:rsidR="00E802FC" w:rsidRPr="00494693">
          <w:rPr>
            <w:rStyle w:val="Hyperlink"/>
            <w:rFonts w:cs="Arial"/>
            <w:noProof/>
            <w:lang w:val="en-CA"/>
          </w:rPr>
          <w:t>Avoiding overlaps between legacy and additional PRACH resource facilitates simpler SSB-RO mapping for the additional PRACH resource.</w:t>
        </w:r>
      </w:hyperlink>
    </w:p>
    <w:p w14:paraId="7B9F82A8" w14:textId="78E3245A"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25" w:history="1">
        <w:r w:rsidR="00E802FC" w:rsidRPr="00494693">
          <w:rPr>
            <w:rStyle w:val="Hyperlink"/>
            <w:rFonts w:cs="Arial"/>
            <w:noProof/>
            <w:lang w:val="en-CA"/>
          </w:rPr>
          <w:t>Observation 11</w:t>
        </w:r>
        <w:r w:rsidR="00E802FC">
          <w:rPr>
            <w:rFonts w:asciiTheme="minorHAnsi" w:eastAsiaTheme="minorEastAsia" w:hAnsiTheme="minorHAnsi"/>
            <w:b w:val="0"/>
            <w:noProof/>
            <w:kern w:val="2"/>
            <w14:ligatures w14:val="standardContextual"/>
          </w:rPr>
          <w:tab/>
        </w:r>
        <w:r w:rsidR="00E802FC" w:rsidRPr="00494693">
          <w:rPr>
            <w:rStyle w:val="Hyperlink"/>
            <w:rFonts w:cs="Arial"/>
            <w:noProof/>
            <w:lang w:val="en-CA"/>
          </w:rPr>
          <w:t>Introducing a time-domain offset parameter (e.g. sub-frame-level or slot-level) for additional RACH resource can facilitate no time-domain overlap of the additional PRACH resources and PRACH resources for legacy UEs.</w:t>
        </w:r>
      </w:hyperlink>
    </w:p>
    <w:p w14:paraId="31645733" w14:textId="56224757"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26" w:history="1">
        <w:r w:rsidR="00E802FC" w:rsidRPr="00494693">
          <w:rPr>
            <w:rStyle w:val="Hyperlink"/>
            <w:rFonts w:cs="Arial"/>
            <w:noProof/>
            <w:lang w:val="en-CA"/>
          </w:rPr>
          <w:t>Observation 12</w:t>
        </w:r>
        <w:r w:rsidR="00E802FC">
          <w:rPr>
            <w:rFonts w:asciiTheme="minorHAnsi" w:eastAsiaTheme="minorEastAsia" w:hAnsiTheme="minorHAnsi"/>
            <w:b w:val="0"/>
            <w:noProof/>
            <w:kern w:val="2"/>
            <w14:ligatures w14:val="standardContextual"/>
          </w:rPr>
          <w:tab/>
        </w:r>
        <w:r w:rsidR="00E802FC" w:rsidRPr="00494693">
          <w:rPr>
            <w:rStyle w:val="Hyperlink"/>
            <w:rFonts w:cs="Arial"/>
            <w:noProof/>
            <w:lang w:val="en-CA"/>
          </w:rPr>
          <w:t>For the additional PRACH resources, if the additional PRACH resource still overlap with a legacy PRACH resource in time and frequency domain, resource invalidation/unavailability/priority mechanisms need to be considered.</w:t>
        </w:r>
      </w:hyperlink>
    </w:p>
    <w:p w14:paraId="71721637" w14:textId="35EAA1CD"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27" w:history="1">
        <w:r w:rsidR="00E802FC" w:rsidRPr="00494693">
          <w:rPr>
            <w:rStyle w:val="Hyperlink"/>
            <w:rFonts w:cs="Arial"/>
            <w:noProof/>
            <w:lang w:val="en-CA"/>
          </w:rPr>
          <w:t>Observation 13</w:t>
        </w:r>
        <w:r w:rsidR="00E802FC">
          <w:rPr>
            <w:rFonts w:asciiTheme="minorHAnsi" w:eastAsiaTheme="minorEastAsia" w:hAnsiTheme="minorHAnsi"/>
            <w:b w:val="0"/>
            <w:noProof/>
            <w:kern w:val="2"/>
            <w14:ligatures w14:val="standardContextual"/>
          </w:rPr>
          <w:tab/>
        </w:r>
        <w:r w:rsidR="00E802FC" w:rsidRPr="00494693">
          <w:rPr>
            <w:rStyle w:val="Hyperlink"/>
            <w:rFonts w:cs="Arial"/>
            <w:noProof/>
            <w:lang w:val="en-CA"/>
          </w:rPr>
          <w:t>Non-uniform distribution of UEs in different beams is observed in practical deployments, particularly in FR2.</w:t>
        </w:r>
      </w:hyperlink>
    </w:p>
    <w:p w14:paraId="40CB4241" w14:textId="1ACBAE7C"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28" w:history="1">
        <w:r w:rsidR="00E802FC" w:rsidRPr="00494693">
          <w:rPr>
            <w:rStyle w:val="Hyperlink"/>
            <w:rFonts w:cs="Arial"/>
            <w:noProof/>
            <w:lang w:val="en-GB" w:eastAsia="zh-CN"/>
          </w:rPr>
          <w:t>We evaluated the energy-saving benefits of spatial domain PRACH adaptation. Table below shows the simulation result for uniform/non-uniform PRACH configuration for spatial domain as per agreed framework for evaluation. Detailed results with assumed settings are shown in Annex A.</w:t>
        </w:r>
      </w:hyperlink>
    </w:p>
    <w:p w14:paraId="50B97E45" w14:textId="5675A201"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29" w:history="1">
        <w:r w:rsidR="00E802FC" w:rsidRPr="00494693">
          <w:rPr>
            <w:rStyle w:val="Hyperlink"/>
            <w:noProof/>
          </w:rPr>
          <w:t>Observation 14</w:t>
        </w:r>
        <w:r w:rsidR="00E802FC">
          <w:rPr>
            <w:rFonts w:asciiTheme="minorHAnsi" w:eastAsiaTheme="minorEastAsia" w:hAnsiTheme="minorHAnsi"/>
            <w:b w:val="0"/>
            <w:noProof/>
            <w:kern w:val="2"/>
            <w14:ligatures w14:val="standardContextual"/>
          </w:rPr>
          <w:tab/>
        </w:r>
        <w:r w:rsidR="00E802FC" w:rsidRPr="00494693">
          <w:rPr>
            <w:rStyle w:val="Hyperlink"/>
            <w:noProof/>
          </w:rPr>
          <w:t>Non-uniform PRACH to SSB mapping can provide following NES gains over legacy PRACH to SSB mapping for eight beam case.</w:t>
        </w:r>
      </w:hyperlink>
    </w:p>
    <w:p w14:paraId="772E01EB" w14:textId="7808746F"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30" w:history="1">
        <w:r w:rsidR="00E802FC" w:rsidRPr="00494693">
          <w:rPr>
            <w:rStyle w:val="Hyperlink"/>
            <w:noProof/>
          </w:rPr>
          <w:t>a.</w:t>
        </w:r>
        <w:r w:rsidR="00E802FC">
          <w:rPr>
            <w:rFonts w:asciiTheme="minorHAnsi" w:eastAsiaTheme="minorEastAsia" w:hAnsiTheme="minorHAnsi"/>
            <w:b w:val="0"/>
            <w:noProof/>
            <w:kern w:val="2"/>
            <w14:ligatures w14:val="standardContextual"/>
          </w:rPr>
          <w:tab/>
        </w:r>
        <w:r w:rsidR="00E802FC" w:rsidRPr="00494693">
          <w:rPr>
            <w:rStyle w:val="Hyperlink"/>
            <w:noProof/>
          </w:rPr>
          <w:t>24% when the effective RACH resources in time-domain are reduced by 50% (i.e. for Case C1 vs B1/A1-2)</w:t>
        </w:r>
      </w:hyperlink>
    </w:p>
    <w:p w14:paraId="3B0C80F1" w14:textId="64E167A6"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31" w:history="1">
        <w:r w:rsidR="00E802FC" w:rsidRPr="00494693">
          <w:rPr>
            <w:rStyle w:val="Hyperlink"/>
            <w:noProof/>
          </w:rPr>
          <w:t>b.</w:t>
        </w:r>
        <w:r w:rsidR="00E802FC">
          <w:rPr>
            <w:rFonts w:asciiTheme="minorHAnsi" w:eastAsiaTheme="minorEastAsia" w:hAnsiTheme="minorHAnsi"/>
            <w:b w:val="0"/>
            <w:noProof/>
            <w:kern w:val="2"/>
            <w14:ligatures w14:val="standardContextual"/>
          </w:rPr>
          <w:tab/>
        </w:r>
        <w:r w:rsidR="00E802FC" w:rsidRPr="00494693">
          <w:rPr>
            <w:rStyle w:val="Hyperlink"/>
            <w:noProof/>
          </w:rPr>
          <w:t>Less than 0.2% when the effective RACH resources in time-domain are not reduced (i.e. for Case C2 vs B2/A2-1)</w:t>
        </w:r>
      </w:hyperlink>
    </w:p>
    <w:p w14:paraId="69BB7F08" w14:textId="09FA3C03"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32" w:history="1">
        <w:r w:rsidR="00E802FC" w:rsidRPr="00494693">
          <w:rPr>
            <w:rStyle w:val="Hyperlink"/>
            <w:noProof/>
          </w:rPr>
          <w:t>c.</w:t>
        </w:r>
        <w:r w:rsidR="00E802FC">
          <w:rPr>
            <w:rFonts w:asciiTheme="minorHAnsi" w:eastAsiaTheme="minorEastAsia" w:hAnsiTheme="minorHAnsi"/>
            <w:b w:val="0"/>
            <w:noProof/>
            <w:kern w:val="2"/>
            <w14:ligatures w14:val="standardContextual"/>
          </w:rPr>
          <w:tab/>
        </w:r>
        <w:r w:rsidR="00E802FC" w:rsidRPr="00494693">
          <w:rPr>
            <w:rStyle w:val="Hyperlink"/>
            <w:noProof/>
          </w:rPr>
          <w:t>Note: Most of the gains are achieved by reducing overall RACH resources in time-domain.</w:t>
        </w:r>
      </w:hyperlink>
    </w:p>
    <w:p w14:paraId="59053BCF" w14:textId="3A07B9B6"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33" w:history="1">
        <w:r w:rsidR="00E802FC" w:rsidRPr="00494693">
          <w:rPr>
            <w:rStyle w:val="Hyperlink"/>
            <w:noProof/>
          </w:rPr>
          <w:t>Observation 15</w:t>
        </w:r>
        <w:r w:rsidR="00E802FC">
          <w:rPr>
            <w:rFonts w:asciiTheme="minorHAnsi" w:eastAsiaTheme="minorEastAsia" w:hAnsiTheme="minorHAnsi"/>
            <w:b w:val="0"/>
            <w:noProof/>
            <w:kern w:val="2"/>
            <w14:ligatures w14:val="standardContextual"/>
          </w:rPr>
          <w:tab/>
        </w:r>
        <w:r w:rsidR="00E802FC" w:rsidRPr="00494693">
          <w:rPr>
            <w:rStyle w:val="Hyperlink"/>
            <w:noProof/>
          </w:rPr>
          <w:t>Semi-static configuration of PO by system information update avoids UE missing configuration updates.</w:t>
        </w:r>
      </w:hyperlink>
    </w:p>
    <w:p w14:paraId="38D44F3D" w14:textId="36C21B29"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34" w:history="1">
        <w:r w:rsidR="00E802FC" w:rsidRPr="00494693">
          <w:rPr>
            <w:rStyle w:val="Hyperlink"/>
            <w:noProof/>
          </w:rPr>
          <w:t>Observation 16</w:t>
        </w:r>
        <w:r w:rsidR="00E802FC">
          <w:rPr>
            <w:rFonts w:asciiTheme="minorHAnsi" w:eastAsiaTheme="minorEastAsia" w:hAnsiTheme="minorHAnsi"/>
            <w:b w:val="0"/>
            <w:noProof/>
            <w:kern w:val="2"/>
            <w14:ligatures w14:val="standardContextual"/>
          </w:rPr>
          <w:tab/>
        </w:r>
        <w:r w:rsidR="00E802FC" w:rsidRPr="00494693">
          <w:rPr>
            <w:rStyle w:val="Hyperlink"/>
            <w:noProof/>
          </w:rPr>
          <w:t>For paging capacity of ~1 PO per radio frame, further condensed paging provides following NES gains over legacy condensed paging,</w:t>
        </w:r>
      </w:hyperlink>
    </w:p>
    <w:p w14:paraId="43F0A53C" w14:textId="343635AD"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35" w:history="1">
        <w:r w:rsidR="00E802FC" w:rsidRPr="00494693">
          <w:rPr>
            <w:rStyle w:val="Hyperlink"/>
            <w:noProof/>
          </w:rPr>
          <w:t>a.</w:t>
        </w:r>
        <w:r w:rsidR="00E802FC">
          <w:rPr>
            <w:rFonts w:asciiTheme="minorHAnsi" w:eastAsiaTheme="minorEastAsia" w:hAnsiTheme="minorHAnsi"/>
            <w:b w:val="0"/>
            <w:noProof/>
            <w:kern w:val="2"/>
            <w14:ligatures w14:val="standardContextual"/>
          </w:rPr>
          <w:tab/>
        </w:r>
        <w:r w:rsidR="00E802FC" w:rsidRPr="00494693">
          <w:rPr>
            <w:rStyle w:val="Hyperlink"/>
            <w:noProof/>
          </w:rPr>
          <w:t>11% ~ 17% (single beam) when SSB/PRACH/SIB1 periodicity is 160ms.</w:t>
        </w:r>
      </w:hyperlink>
    </w:p>
    <w:p w14:paraId="01FFD2FB" w14:textId="47D3424D"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36" w:history="1">
        <w:r w:rsidR="00E802FC" w:rsidRPr="00494693">
          <w:rPr>
            <w:rStyle w:val="Hyperlink"/>
            <w:noProof/>
          </w:rPr>
          <w:t>b.</w:t>
        </w:r>
        <w:r w:rsidR="00E802FC">
          <w:rPr>
            <w:rFonts w:asciiTheme="minorHAnsi" w:eastAsiaTheme="minorEastAsia" w:hAnsiTheme="minorHAnsi"/>
            <w:b w:val="0"/>
            <w:noProof/>
            <w:kern w:val="2"/>
            <w14:ligatures w14:val="standardContextual"/>
          </w:rPr>
          <w:tab/>
        </w:r>
        <w:r w:rsidR="00E802FC" w:rsidRPr="00494693">
          <w:rPr>
            <w:rStyle w:val="Hyperlink"/>
            <w:noProof/>
          </w:rPr>
          <w:t>6% ~ 10% (four beams) when SSB/PRACH/SIB1 periodicity is 160ms.</w:t>
        </w:r>
      </w:hyperlink>
    </w:p>
    <w:p w14:paraId="4E4D950A" w14:textId="2AAF191E"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37" w:history="1">
        <w:r w:rsidR="00E802FC" w:rsidRPr="00494693">
          <w:rPr>
            <w:rStyle w:val="Hyperlink"/>
            <w:noProof/>
          </w:rPr>
          <w:t>c.</w:t>
        </w:r>
        <w:r w:rsidR="00E802FC">
          <w:rPr>
            <w:rFonts w:asciiTheme="minorHAnsi" w:eastAsiaTheme="minorEastAsia" w:hAnsiTheme="minorHAnsi"/>
            <w:b w:val="0"/>
            <w:noProof/>
            <w:kern w:val="2"/>
            <w14:ligatures w14:val="standardContextual"/>
          </w:rPr>
          <w:tab/>
        </w:r>
        <w:r w:rsidR="00E802FC" w:rsidRPr="00494693">
          <w:rPr>
            <w:rStyle w:val="Hyperlink"/>
            <w:noProof/>
          </w:rPr>
          <w:t>No gains observed (for single beam and four beams) when SSB/PRACH/SIB1 periodicity is 20ms/10ms/40ms or 40ms/40ms/40ms.</w:t>
        </w:r>
      </w:hyperlink>
    </w:p>
    <w:p w14:paraId="217774D0" w14:textId="115B80C5" w:rsidR="0059677F" w:rsidRPr="00EB7C05" w:rsidRDefault="0059677F" w:rsidP="0059677F">
      <w:pPr>
        <w:pStyle w:val="BodyText"/>
        <w:rPr>
          <w:b/>
        </w:rPr>
      </w:pPr>
      <w:r>
        <w:rPr>
          <w:b/>
          <w:bCs/>
        </w:rPr>
        <w:fldChar w:fldCharType="end"/>
      </w:r>
    </w:p>
    <w:p w14:paraId="7EC916D1" w14:textId="77777777" w:rsidR="0059677F" w:rsidRPr="00D14EAA" w:rsidRDefault="0059677F" w:rsidP="0059677F">
      <w:pPr>
        <w:spacing w:after="120"/>
        <w:jc w:val="both"/>
        <w:rPr>
          <w:rFonts w:ascii="Arial" w:hAnsi="Arial" w:cs="Arial"/>
        </w:rPr>
      </w:pPr>
      <w:r w:rsidRPr="00D14EAA">
        <w:rPr>
          <w:rFonts w:ascii="Arial" w:hAnsi="Arial" w:cs="Arial"/>
        </w:rPr>
        <w:t>Based on the discussion in the previous sections we propose the following:</w:t>
      </w:r>
    </w:p>
    <w:p w14:paraId="7E4FE0C8" w14:textId="117D4355" w:rsidR="00E802FC" w:rsidRDefault="0059677F">
      <w:pPr>
        <w:pStyle w:val="TableofFigures"/>
        <w:tabs>
          <w:tab w:val="right" w:leader="dot" w:pos="9629"/>
        </w:tabs>
        <w:rPr>
          <w:rFonts w:asciiTheme="minorHAnsi" w:eastAsiaTheme="minorEastAsia" w:hAnsiTheme="minorHAnsi"/>
          <w:b w:val="0"/>
          <w:noProof/>
          <w:kern w:val="2"/>
          <w14:ligatures w14:val="standardContextual"/>
        </w:rPr>
      </w:pPr>
      <w:r>
        <w:rPr>
          <w:b w:val="0"/>
          <w:bCs/>
        </w:rPr>
        <w:fldChar w:fldCharType="begin"/>
      </w:r>
      <w:r>
        <w:rPr>
          <w:bCs/>
        </w:rPr>
        <w:instrText xml:space="preserve"> TOC \n \h \z \t "Proposal" \c </w:instrText>
      </w:r>
      <w:r>
        <w:rPr>
          <w:b w:val="0"/>
          <w:bCs/>
        </w:rPr>
        <w:fldChar w:fldCharType="separate"/>
      </w:r>
      <w:hyperlink w:anchor="_Toc166252138" w:history="1">
        <w:r w:rsidR="00E802FC" w:rsidRPr="00C15B68">
          <w:rPr>
            <w:rStyle w:val="Hyperlink"/>
            <w:rFonts w:cs="Arial"/>
            <w:noProof/>
            <w:lang w:val="en-CA"/>
          </w:rPr>
          <w:t>Proposal 1</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For adaptation of SSB in time-domain, support at least the following scenarios.</w:t>
        </w:r>
      </w:hyperlink>
    </w:p>
    <w:p w14:paraId="596F47D9" w14:textId="6CC0201E"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39" w:history="1">
        <w:r w:rsidR="00E802FC" w:rsidRPr="00C15B68">
          <w:rPr>
            <w:rStyle w:val="Hyperlink"/>
            <w:rFonts w:cs="Arial"/>
            <w:noProof/>
            <w:lang w:val="en-CA"/>
          </w:rPr>
          <w:t>a.</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Rel-19 NES-capable UE’s PCell (Connected mode)</w:t>
        </w:r>
      </w:hyperlink>
    </w:p>
    <w:p w14:paraId="1D243EF4" w14:textId="1FC847EC"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40" w:history="1">
        <w:r w:rsidR="00E802FC" w:rsidRPr="00C15B68">
          <w:rPr>
            <w:rStyle w:val="Hyperlink"/>
            <w:rFonts w:cs="Arial"/>
            <w:noProof/>
            <w:lang w:val="en-CA"/>
          </w:rPr>
          <w:t>i.</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Adaptation for SSB that is not CD-SSB</w:t>
        </w:r>
      </w:hyperlink>
    </w:p>
    <w:p w14:paraId="128FD86E" w14:textId="694B634F"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41" w:history="1">
        <w:r w:rsidR="00E802FC" w:rsidRPr="00C15B68">
          <w:rPr>
            <w:rStyle w:val="Hyperlink"/>
            <w:rFonts w:cs="Arial"/>
            <w:noProof/>
            <w:lang w:val="en-CA"/>
          </w:rPr>
          <w:t>b.</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Rel-19 NES-capable UE’s SCell</w:t>
        </w:r>
      </w:hyperlink>
    </w:p>
    <w:p w14:paraId="336EB9DF" w14:textId="549444D7"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42" w:history="1">
        <w:r w:rsidR="00E802FC" w:rsidRPr="00C15B68">
          <w:rPr>
            <w:rStyle w:val="Hyperlink"/>
            <w:rFonts w:cs="Arial"/>
            <w:noProof/>
            <w:lang w:val="en-CA"/>
          </w:rPr>
          <w:t>i.</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Adaptation for SSB that is not CD-SSB</w:t>
        </w:r>
      </w:hyperlink>
    </w:p>
    <w:p w14:paraId="39DD658C" w14:textId="44F8CEFE"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43" w:history="1">
        <w:r w:rsidR="00E802FC" w:rsidRPr="00C15B68">
          <w:rPr>
            <w:rStyle w:val="Hyperlink"/>
            <w:rFonts w:cs="Arial"/>
            <w:noProof/>
            <w:lang w:val="en-CA"/>
          </w:rPr>
          <w:t>c.</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Note: There can be a sparse CD-SSB present in the cell along with the adaptable SSB that is not CD-SSB</w:t>
        </w:r>
      </w:hyperlink>
    </w:p>
    <w:p w14:paraId="7D8D74E9" w14:textId="1490CC26"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44" w:history="1">
        <w:r w:rsidR="00E802FC" w:rsidRPr="00C15B68">
          <w:rPr>
            <w:rStyle w:val="Hyperlink"/>
            <w:noProof/>
          </w:rPr>
          <w:t>Proposal 2</w:t>
        </w:r>
        <w:r w:rsidR="00E802FC">
          <w:rPr>
            <w:rFonts w:asciiTheme="minorHAnsi" w:eastAsiaTheme="minorEastAsia" w:hAnsiTheme="minorHAnsi"/>
            <w:b w:val="0"/>
            <w:noProof/>
            <w:kern w:val="2"/>
            <w14:ligatures w14:val="standardContextual"/>
          </w:rPr>
          <w:tab/>
        </w:r>
        <w:r w:rsidR="00E802FC" w:rsidRPr="00C15B68">
          <w:rPr>
            <w:rStyle w:val="Hyperlink"/>
            <w:rFonts w:cs="Arial"/>
            <w:noProof/>
          </w:rPr>
          <w:t>Support the following for Rel-19 NES-capable UE in idle/inactive mode at least for the case of non-initial access cells.</w:t>
        </w:r>
      </w:hyperlink>
    </w:p>
    <w:p w14:paraId="36CB12AB" w14:textId="6F82F11F"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45" w:history="1">
        <w:r w:rsidR="00E802FC" w:rsidRPr="00C15B68">
          <w:rPr>
            <w:rStyle w:val="Hyperlink"/>
            <w:rFonts w:cs="Arial"/>
            <w:noProof/>
            <w:lang w:val="en-CA"/>
          </w:rPr>
          <w:t>a.</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Adaptation for SSB that is not CD-SSB</w:t>
        </w:r>
      </w:hyperlink>
    </w:p>
    <w:p w14:paraId="2798060F" w14:textId="17D03042"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46" w:history="1">
        <w:r w:rsidR="00E802FC" w:rsidRPr="00C15B68">
          <w:rPr>
            <w:rStyle w:val="Hyperlink"/>
            <w:rFonts w:cs="Arial"/>
            <w:noProof/>
            <w:lang w:val="en-CA"/>
          </w:rPr>
          <w:t>b.</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Note: A sparse CD-SSB is present in the cell along with the adaptable SSB that is not CD-SSB</w:t>
        </w:r>
      </w:hyperlink>
    </w:p>
    <w:p w14:paraId="0E2D426C" w14:textId="053AC0F1"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47" w:history="1">
        <w:r w:rsidR="00E802FC" w:rsidRPr="00C15B68">
          <w:rPr>
            <w:rStyle w:val="Hyperlink"/>
            <w:rFonts w:cs="Arial"/>
            <w:noProof/>
            <w:lang w:val="en-CA"/>
          </w:rPr>
          <w:t>Proposal 3</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For adaptation of SSB in time-domain, at least the following is supported.</w:t>
        </w:r>
      </w:hyperlink>
    </w:p>
    <w:p w14:paraId="7959DBF5" w14:textId="76B05FB4"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48" w:history="1">
        <w:r w:rsidR="00E802FC" w:rsidRPr="00C15B68">
          <w:rPr>
            <w:rStyle w:val="Hyperlink"/>
            <w:rFonts w:cs="Arial"/>
            <w:noProof/>
            <w:lang w:val="en-CA"/>
          </w:rPr>
          <w:t>a.</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Adaptation of SSB burst periodicity.</w:t>
        </w:r>
      </w:hyperlink>
    </w:p>
    <w:p w14:paraId="07584516" w14:textId="2BF26AEF"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49" w:history="1">
        <w:r w:rsidR="00E802FC" w:rsidRPr="00C15B68">
          <w:rPr>
            <w:rStyle w:val="Hyperlink"/>
            <w:noProof/>
          </w:rPr>
          <w:t>b.</w:t>
        </w:r>
        <w:r w:rsidR="00E802FC">
          <w:rPr>
            <w:rFonts w:asciiTheme="minorHAnsi" w:eastAsiaTheme="minorEastAsia" w:hAnsiTheme="minorHAnsi"/>
            <w:b w:val="0"/>
            <w:noProof/>
            <w:kern w:val="2"/>
            <w14:ligatures w14:val="standardContextual"/>
          </w:rPr>
          <w:tab/>
        </w:r>
        <w:r w:rsidR="00E802FC" w:rsidRPr="00C15B68">
          <w:rPr>
            <w:rStyle w:val="Hyperlink"/>
            <w:rFonts w:cs="Times"/>
            <w:noProof/>
            <w:lang w:eastAsia="x-none"/>
          </w:rPr>
          <w:t xml:space="preserve">Adaptation based on two SSB configurations (i.e., </w:t>
        </w:r>
        <w:r w:rsidR="00E802FC" w:rsidRPr="00C15B68">
          <w:rPr>
            <w:rStyle w:val="Hyperlink"/>
            <w:rFonts w:cs="Arial"/>
            <w:noProof/>
            <w:lang w:val="en-CA"/>
          </w:rPr>
          <w:t>a sparse CD-SSB along with adaptable SSB that is not CD-SSB</w:t>
        </w:r>
        <w:r w:rsidR="00E802FC" w:rsidRPr="00C15B68">
          <w:rPr>
            <w:rStyle w:val="Hyperlink"/>
            <w:noProof/>
          </w:rPr>
          <w:t>).</w:t>
        </w:r>
      </w:hyperlink>
    </w:p>
    <w:p w14:paraId="605F12DD" w14:textId="43A772F1"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50" w:history="1">
        <w:r w:rsidR="00E802FC" w:rsidRPr="00C15B68">
          <w:rPr>
            <w:rStyle w:val="Hyperlink"/>
            <w:rFonts w:cs="Arial"/>
            <w:noProof/>
            <w:lang w:val="en-CA"/>
          </w:rPr>
          <w:t>Proposal 4</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Support dynamic adaptation of SSB in time domain e.g., based on DCI indication.</w:t>
        </w:r>
      </w:hyperlink>
    </w:p>
    <w:p w14:paraId="3A639921" w14:textId="099A08E1"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51" w:history="1">
        <w:r w:rsidR="00E802FC" w:rsidRPr="00C15B68">
          <w:rPr>
            <w:rStyle w:val="Hyperlink"/>
            <w:rFonts w:cs="Arial"/>
            <w:noProof/>
            <w:lang w:val="en-CA"/>
          </w:rPr>
          <w:t>Proposal 5</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For Rel-19 idle/inactive mode UE, consider longer default SSB periodicity (&gt;20ms) for initial access.</w:t>
        </w:r>
      </w:hyperlink>
    </w:p>
    <w:p w14:paraId="19F64F99" w14:textId="1789E3B8"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52" w:history="1">
        <w:r w:rsidR="00E802FC" w:rsidRPr="00C15B68">
          <w:rPr>
            <w:rStyle w:val="Hyperlink"/>
            <w:rFonts w:cs="Arial"/>
            <w:noProof/>
            <w:lang w:val="en-CA"/>
          </w:rPr>
          <w:t>Proposal 6</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Support dynamic adaptation of the additional PRACH resources for Rel-19 UEs, e.g. based on DCI indication.</w:t>
        </w:r>
      </w:hyperlink>
    </w:p>
    <w:p w14:paraId="1958546F" w14:textId="170D0F12"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53" w:history="1">
        <w:r w:rsidR="00E802FC" w:rsidRPr="00C15B68">
          <w:rPr>
            <w:rStyle w:val="Hyperlink"/>
            <w:rFonts w:cs="Arial"/>
            <w:noProof/>
            <w:lang w:val="en-CA"/>
          </w:rPr>
          <w:t>Proposal 7</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Support at least the case where the additional PRACH resources and PRACH resources for legacy UEs are non-overlapping in time-domain</w:t>
        </w:r>
        <w:r w:rsidR="00E802FC" w:rsidRPr="00C15B68">
          <w:rPr>
            <w:rStyle w:val="Hyperlink"/>
            <w:rFonts w:cs="Arial"/>
            <w:noProof/>
          </w:rPr>
          <w:t>.</w:t>
        </w:r>
      </w:hyperlink>
    </w:p>
    <w:p w14:paraId="6CABF479" w14:textId="25F24D94"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54" w:history="1">
        <w:r w:rsidR="00E802FC" w:rsidRPr="00C15B68">
          <w:rPr>
            <w:rStyle w:val="Hyperlink"/>
            <w:rFonts w:cs="Arial"/>
            <w:noProof/>
            <w:lang w:val="en-CA"/>
          </w:rPr>
          <w:t>Proposal 8</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For the additional PRACH resources, support higher layer signaling of at least the following:</w:t>
        </w:r>
      </w:hyperlink>
    </w:p>
    <w:p w14:paraId="1BCEB11B" w14:textId="4630C355"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55" w:history="1">
        <w:r w:rsidR="00E802FC" w:rsidRPr="00C15B68">
          <w:rPr>
            <w:rStyle w:val="Hyperlink"/>
            <w:rFonts w:cs="Arial"/>
            <w:noProof/>
            <w:lang w:val="en-CA"/>
          </w:rPr>
          <w:t>a.</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RACH configuration and</w:t>
        </w:r>
      </w:hyperlink>
    </w:p>
    <w:p w14:paraId="636D290E" w14:textId="58C43FD8"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56" w:history="1">
        <w:r w:rsidR="00E802FC" w:rsidRPr="00C15B68">
          <w:rPr>
            <w:rStyle w:val="Hyperlink"/>
            <w:rFonts w:cs="Arial"/>
            <w:noProof/>
            <w:lang w:val="en-CA"/>
          </w:rPr>
          <w:t>b.</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a time-domain offset parameter (e.g. sub-frame-level or slot-level) for identifying the RACH resources</w:t>
        </w:r>
      </w:hyperlink>
    </w:p>
    <w:p w14:paraId="6DCCEC87" w14:textId="45FB7C8B"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57" w:history="1">
        <w:r w:rsidR="00E802FC" w:rsidRPr="00C15B68">
          <w:rPr>
            <w:rStyle w:val="Hyperlink"/>
            <w:rFonts w:cs="Arial"/>
            <w:noProof/>
            <w:lang w:val="en-CA"/>
          </w:rPr>
          <w:t>Proposal 9</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The configuration of additional PRACH resources should also facilitate condensing PRACH resources in time domain near the condensed POs.</w:t>
        </w:r>
      </w:hyperlink>
    </w:p>
    <w:p w14:paraId="699AED34" w14:textId="18D3B3C7"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58" w:history="1">
        <w:r w:rsidR="00E802FC" w:rsidRPr="00C15B68">
          <w:rPr>
            <w:rStyle w:val="Hyperlink"/>
            <w:rFonts w:cs="Arial"/>
            <w:noProof/>
            <w:lang w:val="en-CA"/>
          </w:rPr>
          <w:t>Proposal 10</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Support at least the case where the SSB-RO mapping mechanism for additional PRACH resources follows the legacy SSB-RO mapping procedure, i.e., the additional PRACH resources are mapped to all the transmitted SSBs of the SSB burst</w:t>
        </w:r>
        <w:r w:rsidR="00E802FC" w:rsidRPr="00C15B68">
          <w:rPr>
            <w:rStyle w:val="Hyperlink"/>
            <w:rFonts w:cs="Arial"/>
            <w:noProof/>
          </w:rPr>
          <w:t>.</w:t>
        </w:r>
      </w:hyperlink>
    </w:p>
    <w:p w14:paraId="778ACEF6" w14:textId="203D6D4B"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59" w:history="1">
        <w:r w:rsidR="00E802FC" w:rsidRPr="00C15B68">
          <w:rPr>
            <w:rStyle w:val="Hyperlink"/>
            <w:rFonts w:cs="Arial"/>
            <w:noProof/>
            <w:lang w:val="en-CA"/>
          </w:rPr>
          <w:t>Proposal 11</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Support non-uniform PRACH resource to SSB mapping based on the following:</w:t>
        </w:r>
      </w:hyperlink>
    </w:p>
    <w:p w14:paraId="2332A2DD" w14:textId="7D734CC6"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60" w:history="1">
        <w:r w:rsidR="00E802FC" w:rsidRPr="00C15B68">
          <w:rPr>
            <w:rStyle w:val="Hyperlink"/>
            <w:rFonts w:cs="Arial"/>
            <w:noProof/>
            <w:lang w:val="en-GB"/>
          </w:rPr>
          <w:t>a.</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GB"/>
          </w:rPr>
          <w:t>The configuration of additional PRACH resources for Rel-19 UEs should also facilitate mapping the additional PRACH resources to a subset of SSBs.</w:t>
        </w:r>
      </w:hyperlink>
    </w:p>
    <w:p w14:paraId="689EB68C" w14:textId="1E5EB8E6" w:rsidR="00E802FC" w:rsidRDefault="00A73279">
      <w:pPr>
        <w:pStyle w:val="TableofFigures"/>
        <w:tabs>
          <w:tab w:val="right" w:leader="dot" w:pos="9629"/>
        </w:tabs>
        <w:rPr>
          <w:rFonts w:asciiTheme="minorHAnsi" w:eastAsiaTheme="minorEastAsia" w:hAnsiTheme="minorHAnsi"/>
          <w:b w:val="0"/>
          <w:noProof/>
          <w:kern w:val="2"/>
          <w14:ligatures w14:val="standardContextual"/>
        </w:rPr>
      </w:pPr>
      <w:hyperlink w:anchor="_Toc166252161" w:history="1">
        <w:r w:rsidR="00E802FC" w:rsidRPr="00C15B68">
          <w:rPr>
            <w:rStyle w:val="Hyperlink"/>
            <w:rFonts w:cs="Arial"/>
            <w:noProof/>
            <w:lang w:val="en-CA"/>
          </w:rPr>
          <w:t>Proposal 12</w:t>
        </w:r>
        <w:r w:rsidR="00E802FC">
          <w:rPr>
            <w:rFonts w:asciiTheme="minorHAnsi" w:eastAsiaTheme="minorEastAsia" w:hAnsiTheme="minorHAnsi"/>
            <w:b w:val="0"/>
            <w:noProof/>
            <w:kern w:val="2"/>
            <w14:ligatures w14:val="standardContextual"/>
          </w:rPr>
          <w:tab/>
        </w:r>
        <w:r w:rsidR="00E802FC" w:rsidRPr="00C15B68">
          <w:rPr>
            <w:rStyle w:val="Hyperlink"/>
            <w:rFonts w:cs="Arial"/>
            <w:noProof/>
            <w:lang w:val="en-CA"/>
          </w:rPr>
          <w:t>Study feasibility to support dynamic adaptation for SSB/PRACH based on a common DCI design. There should be sufficient flexibility to adapt and configure them jointly or independently.</w:t>
        </w:r>
      </w:hyperlink>
    </w:p>
    <w:p w14:paraId="02D5C1CF" w14:textId="2BCE16E4" w:rsidR="0059677F" w:rsidRPr="00BA0F47" w:rsidRDefault="0059677F" w:rsidP="0059677F">
      <w:pPr>
        <w:pStyle w:val="BodyText"/>
        <w:rPr>
          <w:rFonts w:ascii="Arial" w:hAnsi="Arial" w:cs="Arial"/>
          <w:b/>
          <w:bCs/>
        </w:rPr>
      </w:pPr>
      <w:r>
        <w:rPr>
          <w:b/>
          <w:bCs/>
        </w:rPr>
        <w:fldChar w:fldCharType="end"/>
      </w:r>
      <w:r w:rsidRPr="00F618AE">
        <w:rPr>
          <w:b/>
        </w:rPr>
        <w:t xml:space="preserve"> </w:t>
      </w:r>
      <w:r w:rsidRPr="00BB13A3">
        <w:rPr>
          <w:rFonts w:ascii="Arial" w:hAnsi="Arial" w:cs="Arial"/>
          <w:bCs/>
          <w:color w:val="000000" w:themeColor="text1"/>
          <w:shd w:val="pct15" w:color="auto" w:fill="FFFFFF"/>
          <w:lang w:eastAsia="en-US"/>
        </w:rPr>
        <w:fldChar w:fldCharType="begin"/>
      </w:r>
      <w:r w:rsidRPr="00BB13A3">
        <w:rPr>
          <w:rFonts w:ascii="Arial" w:hAnsi="Arial" w:cs="Arial"/>
          <w:bCs/>
          <w:color w:val="000000" w:themeColor="text1"/>
          <w:shd w:val="pct15" w:color="auto" w:fill="FFFFFF"/>
          <w:lang w:eastAsia="en-US"/>
        </w:rPr>
        <w:instrText xml:space="preserve"> TOC \n \h \z \t "Proposal" \c </w:instrText>
      </w:r>
      <w:r w:rsidRPr="00BB13A3">
        <w:rPr>
          <w:rFonts w:ascii="Arial" w:hAnsi="Arial" w:cs="Arial"/>
          <w:bCs/>
          <w:color w:val="000000" w:themeColor="text1"/>
          <w:shd w:val="pct15" w:color="auto" w:fill="FFFFFF"/>
          <w:lang w:eastAsia="en-US"/>
        </w:rPr>
        <w:fldChar w:fldCharType="separate"/>
      </w:r>
      <w:bookmarkStart w:id="98" w:name="_Hlk83889439"/>
    </w:p>
    <w:bookmarkEnd w:id="98"/>
    <w:p w14:paraId="5D78C291" w14:textId="77777777" w:rsidR="0059677F" w:rsidRPr="00303F36" w:rsidRDefault="0059677F" w:rsidP="0059677F">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hAnsi="Arial" w:cs="Arial"/>
          <w:sz w:val="36"/>
          <w:szCs w:val="20"/>
          <w:lang w:eastAsia="ja-JP"/>
        </w:rPr>
      </w:pPr>
      <w:r w:rsidRPr="00BB13A3">
        <w:rPr>
          <w:rFonts w:ascii="Arial" w:hAnsi="Arial" w:cs="Arial"/>
          <w:b/>
          <w:bCs/>
          <w:color w:val="000000" w:themeColor="text1"/>
          <w:shd w:val="pct15" w:color="auto" w:fill="FFFFFF"/>
        </w:rPr>
        <w:fldChar w:fldCharType="end"/>
      </w:r>
      <w:r w:rsidRPr="00303F36">
        <w:rPr>
          <w:rFonts w:ascii="Arial" w:hAnsi="Arial" w:cs="Arial"/>
          <w:sz w:val="36"/>
          <w:szCs w:val="20"/>
          <w:lang w:eastAsia="ja-JP"/>
        </w:rPr>
        <w:t xml:space="preserve"> References</w:t>
      </w:r>
      <w:r>
        <w:rPr>
          <w:rFonts w:ascii="Arial" w:hAnsi="Arial" w:cs="Arial"/>
          <w:sz w:val="36"/>
          <w:szCs w:val="20"/>
          <w:lang w:eastAsia="ja-JP"/>
        </w:rPr>
        <w:t xml:space="preserve"> </w:t>
      </w:r>
    </w:p>
    <w:p w14:paraId="7CCD207F" w14:textId="77777777" w:rsidR="0059677F" w:rsidRDefault="0059677F" w:rsidP="0059677F">
      <w:pPr>
        <w:pStyle w:val="Reference"/>
        <w:spacing w:line="240" w:lineRule="auto"/>
      </w:pPr>
      <w:bookmarkStart w:id="99" w:name="_Ref157600605"/>
      <w:r w:rsidRPr="00F25BFC">
        <w:t xml:space="preserve">RP-240170, “Revised WID: Enhancements of network energy savings for NR”, </w:t>
      </w:r>
      <w:r w:rsidRPr="004E30D0">
        <w:t xml:space="preserve">3GPP TSG RAN Meeting </w:t>
      </w:r>
      <w:r w:rsidRPr="00F25BFC">
        <w:t xml:space="preserve">#103, Maastricht, Netherlands, March </w:t>
      </w:r>
      <w:r>
        <w:t xml:space="preserve">18-21, </w:t>
      </w:r>
      <w:r w:rsidRPr="00F25BFC">
        <w:t>2024.</w:t>
      </w:r>
    </w:p>
    <w:p w14:paraId="6464A796" w14:textId="77777777" w:rsidR="0059677F" w:rsidRDefault="0059677F" w:rsidP="0059677F">
      <w:pPr>
        <w:pStyle w:val="Reference"/>
      </w:pPr>
      <w:r w:rsidRPr="00D26FF4">
        <w:t xml:space="preserve">3GPP </w:t>
      </w:r>
      <w:bookmarkStart w:id="100" w:name="specType1"/>
      <w:r w:rsidRPr="00D26FF4">
        <w:t>TR</w:t>
      </w:r>
      <w:bookmarkEnd w:id="100"/>
      <w:r w:rsidRPr="00D26FF4">
        <w:t xml:space="preserve"> </w:t>
      </w:r>
      <w:bookmarkStart w:id="101" w:name="specNumber"/>
      <w:r w:rsidRPr="00D26FF4">
        <w:t>38.</w:t>
      </w:r>
      <w:bookmarkEnd w:id="101"/>
      <w:r w:rsidRPr="00D26FF4">
        <w:t xml:space="preserve">864 </w:t>
      </w:r>
      <w:bookmarkStart w:id="102" w:name="specVersion"/>
      <w:r w:rsidRPr="00D26FF4">
        <w:t>V1</w:t>
      </w:r>
      <w:r>
        <w:t>8</w:t>
      </w:r>
      <w:r w:rsidRPr="00D26FF4">
        <w:t>.</w:t>
      </w:r>
      <w:r>
        <w:t>1</w:t>
      </w:r>
      <w:r w:rsidRPr="00D26FF4">
        <w:t>.</w:t>
      </w:r>
      <w:bookmarkEnd w:id="102"/>
      <w:r w:rsidRPr="00D26FF4">
        <w:t>0</w:t>
      </w:r>
      <w:r w:rsidRPr="00D26FF4">
        <w:rPr>
          <w:rFonts w:hint="eastAsia"/>
        </w:rPr>
        <w:t>,</w:t>
      </w:r>
      <w:r w:rsidRPr="00D26FF4">
        <w:t xml:space="preserve"> Study on network energy savings for NR.</w:t>
      </w:r>
      <w:bookmarkEnd w:id="99"/>
    </w:p>
    <w:p w14:paraId="047E24A6" w14:textId="77777777" w:rsidR="0059677F" w:rsidRDefault="0059677F" w:rsidP="0059677F"/>
    <w:p w14:paraId="66C0C9F5" w14:textId="72B17294" w:rsidR="00440E87" w:rsidRDefault="00440E87">
      <w:pPr>
        <w:spacing w:after="160" w:line="259" w:lineRule="auto"/>
      </w:pPr>
      <w:r>
        <w:br w:type="page"/>
      </w:r>
    </w:p>
    <w:p w14:paraId="6ABC4389" w14:textId="77777777" w:rsidR="00440E87" w:rsidRDefault="00440E87" w:rsidP="0059677F">
      <w:pPr>
        <w:sectPr w:rsidR="00440E87">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pPr>
    </w:p>
    <w:p w14:paraId="1C85847D" w14:textId="77777777" w:rsidR="00440E87" w:rsidRDefault="00440E87" w:rsidP="0059677F"/>
    <w:p w14:paraId="2B383014" w14:textId="77777777" w:rsidR="00440E87" w:rsidRDefault="00440E87" w:rsidP="0059677F"/>
    <w:p w14:paraId="5CA5756A" w14:textId="15E3727B" w:rsidR="00440E87" w:rsidRPr="00FE61C2" w:rsidRDefault="00440E87" w:rsidP="00FE61C2">
      <w:pPr>
        <w:keepNext/>
        <w:keepLines/>
        <w:pBdr>
          <w:top w:val="single" w:sz="12" w:space="3" w:color="auto"/>
        </w:pBdr>
        <w:overflowPunct w:val="0"/>
        <w:autoSpaceDE w:val="0"/>
        <w:autoSpaceDN w:val="0"/>
        <w:adjustRightInd w:val="0"/>
        <w:spacing w:before="240" w:after="180"/>
        <w:ind w:left="432" w:hanging="432"/>
        <w:jc w:val="both"/>
        <w:textAlignment w:val="baseline"/>
        <w:outlineLvl w:val="0"/>
        <w:rPr>
          <w:rFonts w:ascii="Arial" w:hAnsi="Arial" w:cs="Arial"/>
          <w:b/>
          <w:bCs/>
        </w:rPr>
      </w:pPr>
      <w:r w:rsidRPr="00FE61C2">
        <w:rPr>
          <w:rFonts w:ascii="Arial" w:hAnsi="Arial" w:cs="Arial"/>
          <w:b/>
          <w:bCs/>
        </w:rPr>
        <w:t>Annex A</w:t>
      </w:r>
      <w:r w:rsidR="00DE0E26">
        <w:rPr>
          <w:rFonts w:ascii="Arial" w:hAnsi="Arial" w:cs="Arial"/>
          <w:b/>
          <w:bCs/>
        </w:rPr>
        <w:t xml:space="preserve"> (</w:t>
      </w:r>
      <w:r w:rsidR="003553A6">
        <w:rPr>
          <w:rFonts w:ascii="Arial" w:hAnsi="Arial" w:cs="Arial"/>
          <w:b/>
          <w:bCs/>
        </w:rPr>
        <w:t>D</w:t>
      </w:r>
      <w:r w:rsidR="00DE0E26">
        <w:rPr>
          <w:rFonts w:ascii="Arial" w:hAnsi="Arial" w:cs="Arial"/>
          <w:b/>
          <w:bCs/>
        </w:rPr>
        <w:t xml:space="preserve">etailed evaluation results </w:t>
      </w:r>
      <w:r w:rsidR="003553A6">
        <w:rPr>
          <w:rFonts w:ascii="Arial" w:hAnsi="Arial" w:cs="Arial"/>
          <w:b/>
          <w:bCs/>
        </w:rPr>
        <w:t xml:space="preserve">and simulated settings </w:t>
      </w:r>
      <w:r w:rsidR="00DE0E26">
        <w:rPr>
          <w:rFonts w:ascii="Arial" w:hAnsi="Arial" w:cs="Arial"/>
          <w:b/>
          <w:bCs/>
        </w:rPr>
        <w:t>for study of PRACH adaptation in spatial domain)</w:t>
      </w:r>
    </w:p>
    <w:p w14:paraId="7650B125" w14:textId="77777777" w:rsidR="0059677F" w:rsidRDefault="0059677F" w:rsidP="0059677F"/>
    <w:tbl>
      <w:tblPr>
        <w:tblW w:w="14080" w:type="dxa"/>
        <w:tblLayout w:type="fixed"/>
        <w:tblLook w:val="04A0" w:firstRow="1" w:lastRow="0" w:firstColumn="1" w:lastColumn="0" w:noHBand="0" w:noVBand="1"/>
      </w:tblPr>
      <w:tblGrid>
        <w:gridCol w:w="875"/>
        <w:gridCol w:w="802"/>
        <w:gridCol w:w="785"/>
        <w:gridCol w:w="818"/>
        <w:gridCol w:w="826"/>
        <w:gridCol w:w="839"/>
        <w:gridCol w:w="900"/>
        <w:gridCol w:w="990"/>
        <w:gridCol w:w="810"/>
        <w:gridCol w:w="540"/>
        <w:gridCol w:w="990"/>
        <w:gridCol w:w="810"/>
        <w:gridCol w:w="1080"/>
        <w:gridCol w:w="3015"/>
      </w:tblGrid>
      <w:tr w:rsidR="00440E87" w14:paraId="7E7ED0C5" w14:textId="77777777" w:rsidTr="00FE61C2">
        <w:trPr>
          <w:trHeight w:val="3990"/>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AB4B4" w14:textId="77777777" w:rsidR="00440E87" w:rsidRDefault="00440E87">
            <w:pPr>
              <w:rPr>
                <w:color w:val="000000"/>
                <w:sz w:val="16"/>
                <w:szCs w:val="16"/>
              </w:rPr>
            </w:pPr>
            <w:r>
              <w:rPr>
                <w:color w:val="000000"/>
                <w:sz w:val="16"/>
                <w:szCs w:val="16"/>
              </w:rPr>
              <w:t>Company</w:t>
            </w:r>
          </w:p>
        </w:tc>
        <w:tc>
          <w:tcPr>
            <w:tcW w:w="802" w:type="dxa"/>
            <w:tcBorders>
              <w:top w:val="single" w:sz="4" w:space="0" w:color="auto"/>
              <w:left w:val="nil"/>
              <w:bottom w:val="single" w:sz="4" w:space="0" w:color="auto"/>
              <w:right w:val="single" w:sz="4" w:space="0" w:color="auto"/>
            </w:tcBorders>
            <w:shd w:val="clear" w:color="auto" w:fill="auto"/>
            <w:vAlign w:val="center"/>
            <w:hideMark/>
          </w:tcPr>
          <w:p w14:paraId="09E3356F" w14:textId="77777777" w:rsidR="00440E87" w:rsidRDefault="00440E87">
            <w:pPr>
              <w:rPr>
                <w:color w:val="000000"/>
                <w:sz w:val="16"/>
                <w:szCs w:val="16"/>
              </w:rPr>
            </w:pPr>
            <w:r>
              <w:rPr>
                <w:color w:val="000000"/>
                <w:sz w:val="16"/>
                <w:szCs w:val="16"/>
              </w:rPr>
              <w:t>A (SIB1 period)</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C85A735" w14:textId="77777777" w:rsidR="00440E87" w:rsidRDefault="00440E87">
            <w:pPr>
              <w:rPr>
                <w:color w:val="000000"/>
                <w:sz w:val="16"/>
                <w:szCs w:val="16"/>
              </w:rPr>
            </w:pPr>
            <w:r>
              <w:rPr>
                <w:color w:val="000000"/>
                <w:sz w:val="16"/>
                <w:szCs w:val="16"/>
              </w:rPr>
              <w:t>B1 (Cell load)</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5E6C8BD2" w14:textId="77777777" w:rsidR="00440E87" w:rsidRDefault="00440E87">
            <w:pPr>
              <w:rPr>
                <w:color w:val="000000"/>
                <w:sz w:val="16"/>
                <w:szCs w:val="16"/>
              </w:rPr>
            </w:pPr>
            <w:r>
              <w:rPr>
                <w:color w:val="000000"/>
                <w:sz w:val="16"/>
                <w:szCs w:val="16"/>
              </w:rPr>
              <w:t>B2 (Traffic model)</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3CE2F7" w14:textId="77777777" w:rsidR="00440E87" w:rsidRDefault="00440E87">
            <w:pPr>
              <w:rPr>
                <w:color w:val="000000"/>
                <w:sz w:val="16"/>
                <w:szCs w:val="16"/>
              </w:rPr>
            </w:pPr>
            <w:r>
              <w:rPr>
                <w:color w:val="000000"/>
                <w:sz w:val="16"/>
                <w:szCs w:val="16"/>
              </w:rPr>
              <w:t xml:space="preserve">C (SIB1 PDSCH TDRA) </w:t>
            </w:r>
            <w:r>
              <w:rPr>
                <w:color w:val="000000"/>
                <w:sz w:val="16"/>
                <w:szCs w:val="16"/>
              </w:rPr>
              <w:br/>
              <w:t>(Row index, S, L)</w:t>
            </w:r>
          </w:p>
        </w:tc>
        <w:tc>
          <w:tcPr>
            <w:tcW w:w="839" w:type="dxa"/>
            <w:tcBorders>
              <w:top w:val="single" w:sz="4" w:space="0" w:color="auto"/>
              <w:left w:val="nil"/>
              <w:bottom w:val="single" w:sz="4" w:space="0" w:color="auto"/>
              <w:right w:val="single" w:sz="4" w:space="0" w:color="auto"/>
            </w:tcBorders>
            <w:shd w:val="clear" w:color="auto" w:fill="auto"/>
            <w:vAlign w:val="center"/>
            <w:hideMark/>
          </w:tcPr>
          <w:p w14:paraId="0BDBD1E2" w14:textId="77777777" w:rsidR="00440E87" w:rsidRDefault="00440E87">
            <w:pPr>
              <w:rPr>
                <w:color w:val="000000"/>
                <w:sz w:val="16"/>
                <w:szCs w:val="16"/>
              </w:rPr>
            </w:pPr>
            <w:r>
              <w:rPr>
                <w:color w:val="000000"/>
                <w:sz w:val="16"/>
                <w:szCs w:val="16"/>
              </w:rPr>
              <w:t>D (CORESET0/SSB mux pattern) (controlResourceSetZero, searchSpaceZero)</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B0F8EC4" w14:textId="77777777" w:rsidR="00440E87" w:rsidRDefault="00440E87">
            <w:pPr>
              <w:rPr>
                <w:color w:val="000000"/>
                <w:sz w:val="16"/>
                <w:szCs w:val="16"/>
              </w:rPr>
            </w:pPr>
            <w:r>
              <w:rPr>
                <w:color w:val="000000"/>
                <w:sz w:val="16"/>
                <w:szCs w:val="16"/>
              </w:rPr>
              <w:t>E1-1 (Spatial domain PRACH adaptation Case (C1 or C2))</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6EE4A980" w14:textId="77777777" w:rsidR="00440E87" w:rsidRDefault="00440E87">
            <w:pPr>
              <w:rPr>
                <w:color w:val="000000"/>
                <w:sz w:val="16"/>
                <w:szCs w:val="16"/>
              </w:rPr>
            </w:pPr>
            <w:r>
              <w:rPr>
                <w:color w:val="000000"/>
                <w:sz w:val="16"/>
                <w:szCs w:val="16"/>
              </w:rPr>
              <w:t>E1-2(Reference case of legacy/time-domain PRACH adaptation case (B1/A1-1/A1-2 or A2-1/B2))</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55478B76" w14:textId="77777777" w:rsidR="00440E87" w:rsidRDefault="00440E87">
            <w:pPr>
              <w:rPr>
                <w:color w:val="000000"/>
                <w:sz w:val="16"/>
                <w:szCs w:val="16"/>
              </w:rPr>
            </w:pPr>
            <w:r>
              <w:rPr>
                <w:color w:val="000000"/>
                <w:sz w:val="16"/>
                <w:szCs w:val="16"/>
              </w:rPr>
              <w:t>F (BS power model cat.)</w:t>
            </w:r>
          </w:p>
        </w:tc>
        <w:tc>
          <w:tcPr>
            <w:tcW w:w="540" w:type="dxa"/>
            <w:tcBorders>
              <w:top w:val="single" w:sz="4" w:space="0" w:color="auto"/>
              <w:left w:val="nil"/>
              <w:bottom w:val="single" w:sz="4" w:space="0" w:color="auto"/>
              <w:right w:val="single" w:sz="4" w:space="0" w:color="auto"/>
            </w:tcBorders>
            <w:shd w:val="clear" w:color="auto" w:fill="auto"/>
            <w:vAlign w:val="center"/>
            <w:hideMark/>
          </w:tcPr>
          <w:p w14:paraId="34BE005D" w14:textId="77777777" w:rsidR="00440E87" w:rsidRDefault="00440E87">
            <w:pPr>
              <w:rPr>
                <w:color w:val="000000"/>
                <w:sz w:val="16"/>
                <w:szCs w:val="16"/>
              </w:rPr>
            </w:pPr>
            <w:r>
              <w:rPr>
                <w:color w:val="000000"/>
                <w:sz w:val="16"/>
                <w:szCs w:val="16"/>
              </w:rPr>
              <w:t>G1 (Num of SSB)</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820C919" w14:textId="77777777" w:rsidR="00440E87" w:rsidRDefault="00440E87">
            <w:pPr>
              <w:rPr>
                <w:color w:val="000000"/>
                <w:sz w:val="16"/>
                <w:szCs w:val="16"/>
              </w:rPr>
            </w:pPr>
            <w:r>
              <w:rPr>
                <w:color w:val="000000"/>
                <w:sz w:val="16"/>
                <w:szCs w:val="16"/>
              </w:rPr>
              <w:t>NES gain of E1-1 over E1-2</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1CCFB1B4" w14:textId="77777777" w:rsidR="00440E87" w:rsidRPr="00E802FC" w:rsidRDefault="00440E87">
            <w:pPr>
              <w:jc w:val="right"/>
              <w:rPr>
                <w:color w:val="000000" w:themeColor="text1"/>
                <w:sz w:val="16"/>
                <w:szCs w:val="16"/>
              </w:rPr>
            </w:pPr>
            <w:r w:rsidRPr="00E802FC">
              <w:rPr>
                <w:color w:val="000000" w:themeColor="text1"/>
                <w:sz w:val="16"/>
                <w:szCs w:val="16"/>
              </w:rPr>
              <w:t>H1-1 (Energy consumption of Spatial domain PRACH adaptation Case (C1 or C2))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66E11656" w14:textId="77777777" w:rsidR="00440E87" w:rsidRPr="00E802FC" w:rsidRDefault="00440E87">
            <w:pPr>
              <w:rPr>
                <w:color w:val="000000" w:themeColor="text1"/>
                <w:sz w:val="16"/>
                <w:szCs w:val="16"/>
              </w:rPr>
            </w:pPr>
            <w:r w:rsidRPr="00E802FC">
              <w:rPr>
                <w:color w:val="000000" w:themeColor="text1"/>
                <w:sz w:val="16"/>
                <w:szCs w:val="16"/>
              </w:rPr>
              <w:t>H1-2(Energy consumption of reference case of legacy/time-domain PRACH adaptation case (B1/A1-1/A1-2 or A2-1/B2))</w:t>
            </w:r>
          </w:p>
        </w:tc>
        <w:tc>
          <w:tcPr>
            <w:tcW w:w="3015" w:type="dxa"/>
            <w:tcBorders>
              <w:top w:val="single" w:sz="4" w:space="0" w:color="auto"/>
              <w:left w:val="nil"/>
              <w:bottom w:val="single" w:sz="4" w:space="0" w:color="auto"/>
              <w:right w:val="single" w:sz="4" w:space="0" w:color="auto"/>
            </w:tcBorders>
            <w:shd w:val="clear" w:color="auto" w:fill="auto"/>
            <w:vAlign w:val="center"/>
            <w:hideMark/>
          </w:tcPr>
          <w:p w14:paraId="6422DA2D" w14:textId="77777777" w:rsidR="00440E87" w:rsidRDefault="00440E87">
            <w:pPr>
              <w:rPr>
                <w:color w:val="000000"/>
                <w:sz w:val="16"/>
                <w:szCs w:val="16"/>
              </w:rPr>
            </w:pPr>
            <w:r>
              <w:rPr>
                <w:color w:val="000000"/>
                <w:sz w:val="16"/>
                <w:szCs w:val="16"/>
              </w:rPr>
              <w:t>Notes (e.g. details of SD, time-domain PRACH adaptation, etc)</w:t>
            </w:r>
          </w:p>
        </w:tc>
      </w:tr>
      <w:tr w:rsidR="000D2794" w14:paraId="427F30E9" w14:textId="77777777" w:rsidTr="00FE61C2">
        <w:trPr>
          <w:trHeight w:val="840"/>
        </w:trPr>
        <w:tc>
          <w:tcPr>
            <w:tcW w:w="875" w:type="dxa"/>
            <w:tcBorders>
              <w:top w:val="nil"/>
              <w:left w:val="single" w:sz="4" w:space="0" w:color="auto"/>
              <w:bottom w:val="single" w:sz="4" w:space="0" w:color="auto"/>
              <w:right w:val="single" w:sz="4" w:space="0" w:color="auto"/>
            </w:tcBorders>
            <w:shd w:val="clear" w:color="auto" w:fill="auto"/>
            <w:vAlign w:val="center"/>
            <w:hideMark/>
          </w:tcPr>
          <w:p w14:paraId="5B0899FC" w14:textId="77777777" w:rsidR="000D2794" w:rsidRDefault="000D2794">
            <w:pPr>
              <w:rPr>
                <w:color w:val="000000"/>
                <w:sz w:val="16"/>
                <w:szCs w:val="16"/>
              </w:rPr>
            </w:pPr>
            <w:r>
              <w:rPr>
                <w:color w:val="000000"/>
                <w:sz w:val="16"/>
                <w:szCs w:val="16"/>
              </w:rPr>
              <w:t>Ericsson</w:t>
            </w:r>
          </w:p>
        </w:tc>
        <w:tc>
          <w:tcPr>
            <w:tcW w:w="802" w:type="dxa"/>
            <w:tcBorders>
              <w:top w:val="nil"/>
              <w:left w:val="nil"/>
              <w:bottom w:val="single" w:sz="4" w:space="0" w:color="auto"/>
              <w:right w:val="single" w:sz="4" w:space="0" w:color="auto"/>
            </w:tcBorders>
            <w:shd w:val="clear" w:color="000000" w:fill="FFFFFF"/>
            <w:vAlign w:val="center"/>
            <w:hideMark/>
          </w:tcPr>
          <w:p w14:paraId="74084F28" w14:textId="77777777" w:rsidR="000D2794" w:rsidRDefault="000D2794">
            <w:pPr>
              <w:rPr>
                <w:color w:val="000000"/>
                <w:sz w:val="16"/>
                <w:szCs w:val="16"/>
              </w:rPr>
            </w:pPr>
            <w:r>
              <w:rPr>
                <w:color w:val="000000"/>
                <w:sz w:val="16"/>
                <w:szCs w:val="16"/>
              </w:rPr>
              <w:t>40ms</w:t>
            </w:r>
          </w:p>
        </w:tc>
        <w:tc>
          <w:tcPr>
            <w:tcW w:w="785" w:type="dxa"/>
            <w:tcBorders>
              <w:top w:val="nil"/>
              <w:left w:val="nil"/>
              <w:bottom w:val="single" w:sz="4" w:space="0" w:color="auto"/>
              <w:right w:val="single" w:sz="4" w:space="0" w:color="auto"/>
            </w:tcBorders>
            <w:shd w:val="clear" w:color="auto" w:fill="auto"/>
            <w:vAlign w:val="center"/>
            <w:hideMark/>
          </w:tcPr>
          <w:p w14:paraId="7DD19FF9" w14:textId="77777777" w:rsidR="000D2794" w:rsidRDefault="000D2794">
            <w:pPr>
              <w:rPr>
                <w:color w:val="000000"/>
                <w:sz w:val="16"/>
                <w:szCs w:val="16"/>
              </w:rPr>
            </w:pPr>
            <w:r>
              <w:rPr>
                <w:color w:val="000000"/>
                <w:sz w:val="16"/>
                <w:szCs w:val="16"/>
              </w:rPr>
              <w:t>Empty</w:t>
            </w:r>
          </w:p>
        </w:tc>
        <w:tc>
          <w:tcPr>
            <w:tcW w:w="818" w:type="dxa"/>
            <w:tcBorders>
              <w:top w:val="nil"/>
              <w:left w:val="nil"/>
              <w:bottom w:val="single" w:sz="4" w:space="0" w:color="auto"/>
              <w:right w:val="single" w:sz="4" w:space="0" w:color="auto"/>
            </w:tcBorders>
            <w:shd w:val="clear" w:color="auto" w:fill="auto"/>
            <w:vAlign w:val="center"/>
            <w:hideMark/>
          </w:tcPr>
          <w:p w14:paraId="6DF309C4" w14:textId="77777777" w:rsidR="000D2794" w:rsidRDefault="000D2794">
            <w:pPr>
              <w:rPr>
                <w:color w:val="000000"/>
                <w:sz w:val="16"/>
                <w:szCs w:val="16"/>
              </w:rPr>
            </w:pPr>
            <w:r>
              <w:rPr>
                <w:color w:val="000000"/>
                <w:sz w:val="16"/>
                <w:szCs w:val="16"/>
              </w:rPr>
              <w:t>FTP3</w:t>
            </w:r>
          </w:p>
        </w:tc>
        <w:tc>
          <w:tcPr>
            <w:tcW w:w="826" w:type="dxa"/>
            <w:tcBorders>
              <w:top w:val="nil"/>
              <w:left w:val="nil"/>
              <w:bottom w:val="single" w:sz="4" w:space="0" w:color="auto"/>
              <w:right w:val="single" w:sz="4" w:space="0" w:color="auto"/>
            </w:tcBorders>
            <w:shd w:val="clear" w:color="auto" w:fill="auto"/>
            <w:vAlign w:val="center"/>
            <w:hideMark/>
          </w:tcPr>
          <w:p w14:paraId="1FCA9D37" w14:textId="77777777" w:rsidR="000D2794" w:rsidRDefault="000D2794">
            <w:pPr>
              <w:rPr>
                <w:color w:val="000000"/>
                <w:sz w:val="16"/>
                <w:szCs w:val="16"/>
              </w:rPr>
            </w:pPr>
            <w:r>
              <w:rPr>
                <w:color w:val="000000"/>
                <w:sz w:val="16"/>
                <w:szCs w:val="16"/>
              </w:rPr>
              <w:t>(12, 1, 13)</w:t>
            </w:r>
          </w:p>
        </w:tc>
        <w:tc>
          <w:tcPr>
            <w:tcW w:w="839" w:type="dxa"/>
            <w:tcBorders>
              <w:top w:val="nil"/>
              <w:left w:val="nil"/>
              <w:bottom w:val="single" w:sz="4" w:space="0" w:color="auto"/>
              <w:right w:val="single" w:sz="4" w:space="0" w:color="auto"/>
            </w:tcBorders>
            <w:shd w:val="clear" w:color="auto" w:fill="auto"/>
            <w:hideMark/>
          </w:tcPr>
          <w:p w14:paraId="3AFE07F2" w14:textId="77777777" w:rsidR="000D2794" w:rsidRDefault="000D2794">
            <w:pPr>
              <w:rPr>
                <w:sz w:val="16"/>
                <w:szCs w:val="16"/>
              </w:rPr>
            </w:pPr>
            <w:r>
              <w:rPr>
                <w:sz w:val="16"/>
                <w:szCs w:val="16"/>
              </w:rPr>
              <w:t>(4, 0)</w:t>
            </w:r>
          </w:p>
        </w:tc>
        <w:tc>
          <w:tcPr>
            <w:tcW w:w="900" w:type="dxa"/>
            <w:tcBorders>
              <w:top w:val="nil"/>
              <w:left w:val="nil"/>
              <w:bottom w:val="single" w:sz="4" w:space="0" w:color="auto"/>
              <w:right w:val="single" w:sz="4" w:space="0" w:color="auto"/>
            </w:tcBorders>
            <w:shd w:val="clear" w:color="auto" w:fill="auto"/>
            <w:hideMark/>
          </w:tcPr>
          <w:p w14:paraId="3E8394E6" w14:textId="77777777" w:rsidR="000D2794" w:rsidRDefault="000D2794">
            <w:pPr>
              <w:rPr>
                <w:color w:val="000000"/>
                <w:sz w:val="16"/>
                <w:szCs w:val="16"/>
              </w:rPr>
            </w:pPr>
            <w:r>
              <w:rPr>
                <w:color w:val="000000"/>
                <w:sz w:val="16"/>
                <w:szCs w:val="16"/>
              </w:rPr>
              <w:t>C1</w:t>
            </w:r>
          </w:p>
        </w:tc>
        <w:tc>
          <w:tcPr>
            <w:tcW w:w="990" w:type="dxa"/>
            <w:tcBorders>
              <w:top w:val="nil"/>
              <w:left w:val="nil"/>
              <w:bottom w:val="single" w:sz="4" w:space="0" w:color="auto"/>
              <w:right w:val="single" w:sz="4" w:space="0" w:color="auto"/>
            </w:tcBorders>
            <w:shd w:val="clear" w:color="auto" w:fill="auto"/>
            <w:hideMark/>
          </w:tcPr>
          <w:p w14:paraId="58F4080E" w14:textId="77777777" w:rsidR="000D2794" w:rsidRDefault="000D2794">
            <w:pPr>
              <w:rPr>
                <w:color w:val="000000"/>
                <w:sz w:val="16"/>
                <w:szCs w:val="16"/>
              </w:rPr>
            </w:pPr>
            <w:r>
              <w:rPr>
                <w:color w:val="000000"/>
                <w:sz w:val="16"/>
                <w:szCs w:val="16"/>
              </w:rPr>
              <w:t>A1-1</w:t>
            </w:r>
          </w:p>
        </w:tc>
        <w:tc>
          <w:tcPr>
            <w:tcW w:w="810" w:type="dxa"/>
            <w:tcBorders>
              <w:top w:val="nil"/>
              <w:left w:val="nil"/>
              <w:bottom w:val="single" w:sz="4" w:space="0" w:color="auto"/>
              <w:right w:val="single" w:sz="4" w:space="0" w:color="auto"/>
            </w:tcBorders>
            <w:shd w:val="clear" w:color="auto" w:fill="auto"/>
            <w:hideMark/>
          </w:tcPr>
          <w:p w14:paraId="24E5EC63" w14:textId="77777777" w:rsidR="000D2794" w:rsidRDefault="000D2794">
            <w:pPr>
              <w:rPr>
                <w:color w:val="000000"/>
                <w:sz w:val="16"/>
                <w:szCs w:val="16"/>
              </w:rPr>
            </w:pPr>
            <w:r>
              <w:rPr>
                <w:color w:val="000000"/>
                <w:sz w:val="16"/>
                <w:szCs w:val="16"/>
              </w:rPr>
              <w:t>Cat 1 BS</w:t>
            </w:r>
          </w:p>
        </w:tc>
        <w:tc>
          <w:tcPr>
            <w:tcW w:w="540" w:type="dxa"/>
            <w:tcBorders>
              <w:top w:val="nil"/>
              <w:left w:val="nil"/>
              <w:bottom w:val="single" w:sz="4" w:space="0" w:color="auto"/>
              <w:right w:val="single" w:sz="4" w:space="0" w:color="auto"/>
            </w:tcBorders>
            <w:shd w:val="clear" w:color="auto" w:fill="auto"/>
            <w:vAlign w:val="center"/>
            <w:hideMark/>
          </w:tcPr>
          <w:p w14:paraId="23AA49A3" w14:textId="77777777" w:rsidR="000D2794" w:rsidRDefault="000D2794">
            <w:pPr>
              <w:jc w:val="center"/>
              <w:rPr>
                <w:color w:val="000000"/>
                <w:sz w:val="16"/>
                <w:szCs w:val="16"/>
              </w:rPr>
            </w:pPr>
            <w:r>
              <w:rPr>
                <w:color w:val="000000"/>
                <w:sz w:val="16"/>
                <w:szCs w:val="16"/>
              </w:rPr>
              <w:t>8</w:t>
            </w:r>
          </w:p>
        </w:tc>
        <w:tc>
          <w:tcPr>
            <w:tcW w:w="990" w:type="dxa"/>
            <w:tcBorders>
              <w:top w:val="nil"/>
              <w:left w:val="nil"/>
              <w:bottom w:val="single" w:sz="4" w:space="0" w:color="auto"/>
              <w:right w:val="single" w:sz="4" w:space="0" w:color="auto"/>
            </w:tcBorders>
            <w:shd w:val="clear" w:color="000000" w:fill="FFFFFF"/>
            <w:noWrap/>
            <w:vAlign w:val="center"/>
            <w:hideMark/>
          </w:tcPr>
          <w:p w14:paraId="56D7CA7B" w14:textId="77777777" w:rsidR="000D2794" w:rsidRDefault="000D2794">
            <w:pPr>
              <w:jc w:val="center"/>
              <w:rPr>
                <w:color w:val="000000"/>
                <w:sz w:val="16"/>
                <w:szCs w:val="16"/>
              </w:rPr>
            </w:pPr>
            <w:r>
              <w:rPr>
                <w:color w:val="000000"/>
                <w:sz w:val="16"/>
                <w:szCs w:val="16"/>
              </w:rPr>
              <w:t>-10%</w:t>
            </w:r>
          </w:p>
        </w:tc>
        <w:tc>
          <w:tcPr>
            <w:tcW w:w="810" w:type="dxa"/>
            <w:tcBorders>
              <w:top w:val="nil"/>
              <w:left w:val="nil"/>
              <w:bottom w:val="single" w:sz="4" w:space="0" w:color="auto"/>
              <w:right w:val="single" w:sz="4" w:space="0" w:color="auto"/>
            </w:tcBorders>
            <w:shd w:val="clear" w:color="000000" w:fill="FFFFFF"/>
            <w:noWrap/>
            <w:vAlign w:val="center"/>
            <w:hideMark/>
          </w:tcPr>
          <w:p w14:paraId="2F7FA97A" w14:textId="77777777" w:rsidR="000D2794" w:rsidRDefault="000D2794">
            <w:pPr>
              <w:jc w:val="center"/>
              <w:rPr>
                <w:rFonts w:ascii="Calibri" w:hAnsi="Calibri" w:cs="Calibri"/>
                <w:color w:val="000000"/>
                <w:sz w:val="16"/>
                <w:szCs w:val="16"/>
              </w:rPr>
            </w:pPr>
            <w:r>
              <w:rPr>
                <w:rFonts w:ascii="Calibri" w:hAnsi="Calibri" w:cs="Calibri"/>
                <w:color w:val="000000"/>
                <w:sz w:val="16"/>
                <w:szCs w:val="16"/>
              </w:rPr>
              <w:t>7.53</w:t>
            </w:r>
          </w:p>
        </w:tc>
        <w:tc>
          <w:tcPr>
            <w:tcW w:w="1080" w:type="dxa"/>
            <w:tcBorders>
              <w:top w:val="nil"/>
              <w:left w:val="nil"/>
              <w:bottom w:val="single" w:sz="4" w:space="0" w:color="auto"/>
              <w:right w:val="single" w:sz="4" w:space="0" w:color="auto"/>
            </w:tcBorders>
            <w:shd w:val="clear" w:color="000000" w:fill="FFFFFF"/>
            <w:noWrap/>
            <w:vAlign w:val="center"/>
            <w:hideMark/>
          </w:tcPr>
          <w:p w14:paraId="4F956A29" w14:textId="77777777" w:rsidR="000D2794" w:rsidRDefault="000D2794">
            <w:pPr>
              <w:jc w:val="center"/>
              <w:rPr>
                <w:color w:val="000000"/>
                <w:sz w:val="16"/>
                <w:szCs w:val="16"/>
              </w:rPr>
            </w:pPr>
            <w:r>
              <w:rPr>
                <w:color w:val="000000"/>
                <w:sz w:val="16"/>
                <w:szCs w:val="16"/>
              </w:rPr>
              <w:t>6.82</w:t>
            </w:r>
          </w:p>
        </w:tc>
        <w:tc>
          <w:tcPr>
            <w:tcW w:w="3015" w:type="dxa"/>
            <w:vMerge w:val="restart"/>
            <w:tcBorders>
              <w:top w:val="nil"/>
              <w:left w:val="nil"/>
              <w:right w:val="single" w:sz="4" w:space="0" w:color="auto"/>
            </w:tcBorders>
            <w:shd w:val="clear" w:color="auto" w:fill="auto"/>
            <w:vAlign w:val="center"/>
          </w:tcPr>
          <w:p w14:paraId="6FCC0726" w14:textId="77777777" w:rsidR="000D2794" w:rsidRPr="000E77BF" w:rsidRDefault="000D2794" w:rsidP="000D2794">
            <w:pPr>
              <w:pStyle w:val="ListParagraph"/>
              <w:numPr>
                <w:ilvl w:val="0"/>
                <w:numId w:val="25"/>
              </w:numPr>
              <w:rPr>
                <w:color w:val="000000"/>
                <w:sz w:val="16"/>
                <w:szCs w:val="16"/>
              </w:rPr>
            </w:pPr>
            <w:r w:rsidRPr="000E77BF">
              <w:rPr>
                <w:color w:val="000000"/>
                <w:sz w:val="16"/>
                <w:szCs w:val="16"/>
              </w:rPr>
              <w:t>A1-</w:t>
            </w:r>
            <w:r w:rsidRPr="00440E87">
              <w:rPr>
                <w:color w:val="000000"/>
                <w:sz w:val="16"/>
                <w:szCs w:val="16"/>
              </w:rPr>
              <w:t>1:</w:t>
            </w:r>
            <w:r w:rsidRPr="000E77BF">
              <w:rPr>
                <w:color w:val="000000"/>
                <w:sz w:val="16"/>
                <w:szCs w:val="16"/>
              </w:rPr>
              <w:t xml:space="preserve"> </w:t>
            </w:r>
            <w:r>
              <w:rPr>
                <w:color w:val="000000"/>
                <w:sz w:val="16"/>
                <w:szCs w:val="16"/>
              </w:rPr>
              <w:t xml:space="preserve">(legacy) </w:t>
            </w:r>
            <w:r w:rsidRPr="000E77BF">
              <w:rPr>
                <w:color w:val="000000"/>
                <w:sz w:val="16"/>
                <w:szCs w:val="16"/>
              </w:rPr>
              <w:t>8 SSBs/RO,</w:t>
            </w:r>
          </w:p>
          <w:p w14:paraId="013B276F" w14:textId="77777777" w:rsidR="000D2794" w:rsidRPr="000E77BF" w:rsidRDefault="000D2794" w:rsidP="000D2794">
            <w:pPr>
              <w:pStyle w:val="ListParagraph"/>
              <w:numPr>
                <w:ilvl w:val="0"/>
                <w:numId w:val="25"/>
              </w:numPr>
              <w:rPr>
                <w:color w:val="000000"/>
                <w:sz w:val="16"/>
                <w:szCs w:val="16"/>
              </w:rPr>
            </w:pPr>
            <w:r w:rsidRPr="000E77BF">
              <w:rPr>
                <w:color w:val="000000"/>
                <w:sz w:val="16"/>
                <w:szCs w:val="16"/>
              </w:rPr>
              <w:t>A1-</w:t>
            </w:r>
            <w:r>
              <w:rPr>
                <w:color w:val="000000"/>
                <w:sz w:val="16"/>
                <w:szCs w:val="16"/>
              </w:rPr>
              <w:t>2</w:t>
            </w:r>
            <w:r w:rsidRPr="00440E87">
              <w:rPr>
                <w:color w:val="000000"/>
                <w:sz w:val="16"/>
                <w:szCs w:val="16"/>
              </w:rPr>
              <w:t>:</w:t>
            </w:r>
            <w:r w:rsidRPr="000E77BF">
              <w:rPr>
                <w:color w:val="000000"/>
                <w:sz w:val="16"/>
                <w:szCs w:val="16"/>
              </w:rPr>
              <w:t xml:space="preserve"> </w:t>
            </w:r>
            <w:r>
              <w:rPr>
                <w:color w:val="000000"/>
                <w:sz w:val="16"/>
                <w:szCs w:val="16"/>
              </w:rPr>
              <w:t xml:space="preserve">(legacy) </w:t>
            </w:r>
            <w:r w:rsidRPr="000E77BF">
              <w:rPr>
                <w:color w:val="000000"/>
                <w:sz w:val="16"/>
                <w:szCs w:val="16"/>
              </w:rPr>
              <w:t>8 SSBs/RO,</w:t>
            </w:r>
          </w:p>
          <w:p w14:paraId="55646CB8" w14:textId="77777777" w:rsidR="000D2794" w:rsidRDefault="000D2794" w:rsidP="000D2794">
            <w:pPr>
              <w:pStyle w:val="ListParagraph"/>
              <w:numPr>
                <w:ilvl w:val="0"/>
                <w:numId w:val="25"/>
              </w:numPr>
              <w:rPr>
                <w:color w:val="000000"/>
                <w:sz w:val="16"/>
                <w:szCs w:val="16"/>
              </w:rPr>
            </w:pPr>
            <w:r w:rsidRPr="000E77BF">
              <w:rPr>
                <w:color w:val="000000"/>
                <w:sz w:val="16"/>
                <w:szCs w:val="16"/>
              </w:rPr>
              <w:t>C</w:t>
            </w:r>
            <w:r w:rsidRPr="00440E87">
              <w:rPr>
                <w:color w:val="000000"/>
                <w:sz w:val="16"/>
                <w:szCs w:val="16"/>
              </w:rPr>
              <w:t>1:</w:t>
            </w:r>
            <w:r w:rsidRPr="000E77BF">
              <w:rPr>
                <w:color w:val="000000"/>
                <w:sz w:val="16"/>
                <w:szCs w:val="16"/>
              </w:rPr>
              <w:t xml:space="preserve"> </w:t>
            </w:r>
            <w:r>
              <w:rPr>
                <w:color w:val="000000"/>
                <w:sz w:val="16"/>
                <w:szCs w:val="16"/>
              </w:rPr>
              <w:t>One</w:t>
            </w:r>
            <w:r w:rsidRPr="000E77BF">
              <w:rPr>
                <w:color w:val="000000"/>
                <w:sz w:val="16"/>
                <w:szCs w:val="16"/>
              </w:rPr>
              <w:t xml:space="preserve"> additional </w:t>
            </w:r>
            <w:r w:rsidRPr="00440E87">
              <w:rPr>
                <w:color w:val="000000"/>
                <w:sz w:val="16"/>
                <w:szCs w:val="16"/>
              </w:rPr>
              <w:t>RO</w:t>
            </w:r>
            <w:r>
              <w:rPr>
                <w:color w:val="000000"/>
                <w:sz w:val="16"/>
                <w:szCs w:val="16"/>
              </w:rPr>
              <w:t xml:space="preserve"> per 20ms</w:t>
            </w:r>
            <w:r w:rsidRPr="00440E87">
              <w:rPr>
                <w:color w:val="000000"/>
                <w:sz w:val="16"/>
                <w:szCs w:val="16"/>
              </w:rPr>
              <w:t>, 4</w:t>
            </w:r>
            <w:r w:rsidRPr="000E77BF">
              <w:rPr>
                <w:color w:val="000000"/>
                <w:sz w:val="16"/>
                <w:szCs w:val="16"/>
              </w:rPr>
              <w:t xml:space="preserve">SSBs/RO for additional RO; </w:t>
            </w:r>
            <w:r>
              <w:rPr>
                <w:color w:val="000000"/>
                <w:sz w:val="16"/>
                <w:szCs w:val="16"/>
              </w:rPr>
              <w:t xml:space="preserve">[ </w:t>
            </w:r>
            <w:r w:rsidRPr="000E77BF">
              <w:rPr>
                <w:color w:val="000000"/>
                <w:sz w:val="16"/>
                <w:szCs w:val="16"/>
              </w:rPr>
              <w:t>2nd additional RO is dropped</w:t>
            </w:r>
            <w:r>
              <w:rPr>
                <w:color w:val="000000"/>
                <w:sz w:val="16"/>
                <w:szCs w:val="16"/>
              </w:rPr>
              <w:t xml:space="preserve"> i.e.. </w:t>
            </w:r>
            <w:r w:rsidRPr="000E77BF">
              <w:rPr>
                <w:color w:val="000000"/>
                <w:sz w:val="16"/>
                <w:szCs w:val="16"/>
              </w:rPr>
              <w:t>Additional RO for only half of the SSBs.</w:t>
            </w:r>
            <w:r>
              <w:rPr>
                <w:color w:val="000000"/>
                <w:sz w:val="16"/>
                <w:szCs w:val="16"/>
              </w:rPr>
              <w:t>]</w:t>
            </w:r>
          </w:p>
          <w:p w14:paraId="08ABACCF" w14:textId="77777777" w:rsidR="000D2794" w:rsidRPr="000E77BF" w:rsidRDefault="000D2794" w:rsidP="000D2794">
            <w:pPr>
              <w:pStyle w:val="ListParagraph"/>
              <w:numPr>
                <w:ilvl w:val="0"/>
                <w:numId w:val="25"/>
              </w:numPr>
              <w:rPr>
                <w:color w:val="000000"/>
                <w:sz w:val="16"/>
                <w:szCs w:val="16"/>
              </w:rPr>
            </w:pPr>
            <w:r>
              <w:rPr>
                <w:color w:val="000000"/>
                <w:sz w:val="16"/>
                <w:szCs w:val="16"/>
              </w:rPr>
              <w:t>B1: Three additional ROs per 20ms, 8 SSBs/RO,</w:t>
            </w:r>
          </w:p>
          <w:p w14:paraId="3D113799" w14:textId="77777777" w:rsidR="000D2794" w:rsidRPr="006C71A5" w:rsidRDefault="000D2794" w:rsidP="000D2794">
            <w:pPr>
              <w:pStyle w:val="ListParagraph"/>
              <w:numPr>
                <w:ilvl w:val="0"/>
                <w:numId w:val="25"/>
              </w:numPr>
              <w:rPr>
                <w:color w:val="000000"/>
                <w:sz w:val="16"/>
                <w:szCs w:val="16"/>
              </w:rPr>
            </w:pPr>
            <w:r w:rsidRPr="006C71A5">
              <w:rPr>
                <w:color w:val="000000"/>
                <w:sz w:val="16"/>
                <w:szCs w:val="16"/>
              </w:rPr>
              <w:t xml:space="preserve">for A2-1: 1 RO, 8 SSBs/RO, </w:t>
            </w:r>
          </w:p>
          <w:p w14:paraId="588EBD7A" w14:textId="77777777" w:rsidR="000D2794" w:rsidRPr="006C71A5" w:rsidRDefault="000D2794" w:rsidP="000D2794">
            <w:pPr>
              <w:pStyle w:val="ListParagraph"/>
              <w:numPr>
                <w:ilvl w:val="0"/>
                <w:numId w:val="25"/>
              </w:numPr>
              <w:rPr>
                <w:color w:val="000000"/>
                <w:sz w:val="16"/>
                <w:szCs w:val="16"/>
              </w:rPr>
            </w:pPr>
            <w:r w:rsidRPr="006C71A5">
              <w:rPr>
                <w:color w:val="000000"/>
                <w:sz w:val="16"/>
                <w:szCs w:val="16"/>
              </w:rPr>
              <w:t>C2: One additional RO in FDM per 160ms, 4SSBs/RO for additional RO; [Additional RO for only half of the SSBs.]</w:t>
            </w:r>
          </w:p>
          <w:p w14:paraId="7707C370" w14:textId="77777777" w:rsidR="000D2794" w:rsidRDefault="000D2794" w:rsidP="000D2794">
            <w:pPr>
              <w:pStyle w:val="ListParagraph"/>
              <w:numPr>
                <w:ilvl w:val="0"/>
                <w:numId w:val="25"/>
              </w:numPr>
              <w:rPr>
                <w:color w:val="000000"/>
                <w:sz w:val="16"/>
                <w:szCs w:val="16"/>
              </w:rPr>
            </w:pPr>
            <w:r w:rsidRPr="006C71A5">
              <w:rPr>
                <w:color w:val="000000"/>
                <w:sz w:val="16"/>
                <w:szCs w:val="16"/>
              </w:rPr>
              <w:t xml:space="preserve">B2: Two additional ROs in FDM, 4 SSBs/RO </w:t>
            </w:r>
          </w:p>
          <w:p w14:paraId="7FE1A2E2" w14:textId="77777777" w:rsidR="000D2794" w:rsidRPr="006C71A5" w:rsidRDefault="000D2794" w:rsidP="000D2794">
            <w:pPr>
              <w:pStyle w:val="ListParagraph"/>
              <w:numPr>
                <w:ilvl w:val="0"/>
                <w:numId w:val="25"/>
              </w:numPr>
              <w:rPr>
                <w:color w:val="000000"/>
                <w:sz w:val="16"/>
                <w:szCs w:val="16"/>
              </w:rPr>
            </w:pPr>
            <w:r w:rsidRPr="006C71A5">
              <w:rPr>
                <w:color w:val="000000"/>
                <w:sz w:val="16"/>
                <w:szCs w:val="16"/>
              </w:rPr>
              <w:t>1-symbol PDCCH for SIB1 scheduling.</w:t>
            </w:r>
          </w:p>
          <w:p w14:paraId="3216939E" w14:textId="2A4A5700" w:rsidR="000D2794" w:rsidRPr="00FE61C2" w:rsidRDefault="000D2794" w:rsidP="00FE61C2">
            <w:pPr>
              <w:rPr>
                <w:color w:val="000000"/>
                <w:sz w:val="16"/>
                <w:szCs w:val="16"/>
              </w:rPr>
            </w:pPr>
          </w:p>
        </w:tc>
      </w:tr>
      <w:tr w:rsidR="000D2794" w14:paraId="4DDD194A" w14:textId="77777777" w:rsidTr="00CD70F5">
        <w:trPr>
          <w:trHeight w:val="840"/>
        </w:trPr>
        <w:tc>
          <w:tcPr>
            <w:tcW w:w="875" w:type="dxa"/>
            <w:tcBorders>
              <w:top w:val="nil"/>
              <w:left w:val="single" w:sz="4" w:space="0" w:color="auto"/>
              <w:bottom w:val="single" w:sz="4" w:space="0" w:color="auto"/>
              <w:right w:val="single" w:sz="4" w:space="0" w:color="auto"/>
            </w:tcBorders>
            <w:shd w:val="clear" w:color="auto" w:fill="auto"/>
            <w:vAlign w:val="center"/>
            <w:hideMark/>
          </w:tcPr>
          <w:p w14:paraId="0C1EA8EF" w14:textId="77777777" w:rsidR="000D2794" w:rsidRDefault="000D2794">
            <w:pPr>
              <w:rPr>
                <w:color w:val="000000"/>
                <w:sz w:val="16"/>
                <w:szCs w:val="16"/>
              </w:rPr>
            </w:pPr>
            <w:r>
              <w:rPr>
                <w:color w:val="000000"/>
                <w:sz w:val="16"/>
                <w:szCs w:val="16"/>
              </w:rPr>
              <w:t>Ericsson</w:t>
            </w:r>
          </w:p>
        </w:tc>
        <w:tc>
          <w:tcPr>
            <w:tcW w:w="802" w:type="dxa"/>
            <w:tcBorders>
              <w:top w:val="nil"/>
              <w:left w:val="nil"/>
              <w:bottom w:val="single" w:sz="4" w:space="0" w:color="auto"/>
              <w:right w:val="single" w:sz="4" w:space="0" w:color="auto"/>
            </w:tcBorders>
            <w:shd w:val="clear" w:color="000000" w:fill="FFFFFF"/>
            <w:vAlign w:val="center"/>
            <w:hideMark/>
          </w:tcPr>
          <w:p w14:paraId="0F43925F" w14:textId="77777777" w:rsidR="000D2794" w:rsidRDefault="000D2794">
            <w:pPr>
              <w:rPr>
                <w:color w:val="000000"/>
                <w:sz w:val="16"/>
                <w:szCs w:val="16"/>
              </w:rPr>
            </w:pPr>
            <w:r>
              <w:rPr>
                <w:color w:val="000000"/>
                <w:sz w:val="16"/>
                <w:szCs w:val="16"/>
              </w:rPr>
              <w:t>40ms</w:t>
            </w:r>
          </w:p>
        </w:tc>
        <w:tc>
          <w:tcPr>
            <w:tcW w:w="785" w:type="dxa"/>
            <w:tcBorders>
              <w:top w:val="nil"/>
              <w:left w:val="nil"/>
              <w:bottom w:val="single" w:sz="4" w:space="0" w:color="auto"/>
              <w:right w:val="single" w:sz="4" w:space="0" w:color="auto"/>
            </w:tcBorders>
            <w:shd w:val="clear" w:color="auto" w:fill="auto"/>
            <w:vAlign w:val="center"/>
            <w:hideMark/>
          </w:tcPr>
          <w:p w14:paraId="2E530D2C" w14:textId="77777777" w:rsidR="000D2794" w:rsidRDefault="000D2794">
            <w:pPr>
              <w:rPr>
                <w:color w:val="000000"/>
                <w:sz w:val="16"/>
                <w:szCs w:val="16"/>
              </w:rPr>
            </w:pPr>
            <w:r>
              <w:rPr>
                <w:color w:val="000000"/>
                <w:sz w:val="16"/>
                <w:szCs w:val="16"/>
              </w:rPr>
              <w:t>Empty</w:t>
            </w:r>
          </w:p>
        </w:tc>
        <w:tc>
          <w:tcPr>
            <w:tcW w:w="818" w:type="dxa"/>
            <w:tcBorders>
              <w:top w:val="nil"/>
              <w:left w:val="nil"/>
              <w:bottom w:val="single" w:sz="4" w:space="0" w:color="auto"/>
              <w:right w:val="single" w:sz="4" w:space="0" w:color="auto"/>
            </w:tcBorders>
            <w:shd w:val="clear" w:color="auto" w:fill="auto"/>
            <w:vAlign w:val="center"/>
            <w:hideMark/>
          </w:tcPr>
          <w:p w14:paraId="432D0F7A" w14:textId="77777777" w:rsidR="000D2794" w:rsidRDefault="000D2794">
            <w:pPr>
              <w:rPr>
                <w:color w:val="000000"/>
                <w:sz w:val="16"/>
                <w:szCs w:val="16"/>
              </w:rPr>
            </w:pPr>
            <w:r>
              <w:rPr>
                <w:color w:val="000000"/>
                <w:sz w:val="16"/>
                <w:szCs w:val="16"/>
              </w:rPr>
              <w:t>FTP3</w:t>
            </w:r>
          </w:p>
        </w:tc>
        <w:tc>
          <w:tcPr>
            <w:tcW w:w="826" w:type="dxa"/>
            <w:tcBorders>
              <w:top w:val="nil"/>
              <w:left w:val="nil"/>
              <w:bottom w:val="single" w:sz="4" w:space="0" w:color="auto"/>
              <w:right w:val="single" w:sz="4" w:space="0" w:color="auto"/>
            </w:tcBorders>
            <w:shd w:val="clear" w:color="auto" w:fill="auto"/>
            <w:vAlign w:val="center"/>
            <w:hideMark/>
          </w:tcPr>
          <w:p w14:paraId="32B78187" w14:textId="77777777" w:rsidR="000D2794" w:rsidRDefault="000D2794">
            <w:pPr>
              <w:rPr>
                <w:color w:val="000000"/>
                <w:sz w:val="16"/>
                <w:szCs w:val="16"/>
              </w:rPr>
            </w:pPr>
            <w:r>
              <w:rPr>
                <w:color w:val="000000"/>
                <w:sz w:val="16"/>
                <w:szCs w:val="16"/>
              </w:rPr>
              <w:t>(12, 1, 13)</w:t>
            </w:r>
          </w:p>
        </w:tc>
        <w:tc>
          <w:tcPr>
            <w:tcW w:w="839" w:type="dxa"/>
            <w:tcBorders>
              <w:top w:val="nil"/>
              <w:left w:val="nil"/>
              <w:bottom w:val="single" w:sz="4" w:space="0" w:color="auto"/>
              <w:right w:val="single" w:sz="4" w:space="0" w:color="auto"/>
            </w:tcBorders>
            <w:shd w:val="clear" w:color="auto" w:fill="auto"/>
            <w:hideMark/>
          </w:tcPr>
          <w:p w14:paraId="44F0F973" w14:textId="77777777" w:rsidR="000D2794" w:rsidRDefault="000D2794">
            <w:pPr>
              <w:rPr>
                <w:color w:val="000000"/>
                <w:sz w:val="16"/>
                <w:szCs w:val="16"/>
              </w:rPr>
            </w:pPr>
            <w:r>
              <w:rPr>
                <w:color w:val="000000"/>
                <w:sz w:val="16"/>
                <w:szCs w:val="16"/>
              </w:rPr>
              <w:t>(4, 0)</w:t>
            </w:r>
          </w:p>
        </w:tc>
        <w:tc>
          <w:tcPr>
            <w:tcW w:w="900" w:type="dxa"/>
            <w:tcBorders>
              <w:top w:val="nil"/>
              <w:left w:val="nil"/>
              <w:bottom w:val="single" w:sz="4" w:space="0" w:color="auto"/>
              <w:right w:val="single" w:sz="4" w:space="0" w:color="auto"/>
            </w:tcBorders>
            <w:shd w:val="clear" w:color="auto" w:fill="auto"/>
            <w:hideMark/>
          </w:tcPr>
          <w:p w14:paraId="6B9E8FB6" w14:textId="77777777" w:rsidR="000D2794" w:rsidRDefault="000D2794">
            <w:pPr>
              <w:rPr>
                <w:color w:val="000000"/>
                <w:sz w:val="16"/>
                <w:szCs w:val="16"/>
              </w:rPr>
            </w:pPr>
            <w:r>
              <w:rPr>
                <w:color w:val="000000"/>
                <w:sz w:val="16"/>
                <w:szCs w:val="16"/>
              </w:rPr>
              <w:t>C1</w:t>
            </w:r>
          </w:p>
        </w:tc>
        <w:tc>
          <w:tcPr>
            <w:tcW w:w="990" w:type="dxa"/>
            <w:tcBorders>
              <w:top w:val="nil"/>
              <w:left w:val="nil"/>
              <w:bottom w:val="single" w:sz="4" w:space="0" w:color="auto"/>
              <w:right w:val="single" w:sz="4" w:space="0" w:color="auto"/>
            </w:tcBorders>
            <w:shd w:val="clear" w:color="auto" w:fill="auto"/>
            <w:hideMark/>
          </w:tcPr>
          <w:p w14:paraId="3CFC1847" w14:textId="77777777" w:rsidR="000D2794" w:rsidRDefault="000D2794">
            <w:pPr>
              <w:rPr>
                <w:color w:val="000000"/>
                <w:sz w:val="16"/>
                <w:szCs w:val="16"/>
              </w:rPr>
            </w:pPr>
            <w:r>
              <w:rPr>
                <w:color w:val="000000"/>
                <w:sz w:val="16"/>
                <w:szCs w:val="16"/>
              </w:rPr>
              <w:t>A1-2</w:t>
            </w:r>
          </w:p>
        </w:tc>
        <w:tc>
          <w:tcPr>
            <w:tcW w:w="810" w:type="dxa"/>
            <w:tcBorders>
              <w:top w:val="nil"/>
              <w:left w:val="nil"/>
              <w:bottom w:val="single" w:sz="4" w:space="0" w:color="auto"/>
              <w:right w:val="single" w:sz="4" w:space="0" w:color="auto"/>
            </w:tcBorders>
            <w:shd w:val="clear" w:color="auto" w:fill="auto"/>
            <w:hideMark/>
          </w:tcPr>
          <w:p w14:paraId="2E3C29A5" w14:textId="77777777" w:rsidR="000D2794" w:rsidRDefault="000D2794">
            <w:pPr>
              <w:rPr>
                <w:color w:val="000000"/>
                <w:sz w:val="16"/>
                <w:szCs w:val="16"/>
              </w:rPr>
            </w:pPr>
            <w:r>
              <w:rPr>
                <w:color w:val="000000"/>
                <w:sz w:val="16"/>
                <w:szCs w:val="16"/>
              </w:rPr>
              <w:t>Cat 1 BS</w:t>
            </w:r>
          </w:p>
        </w:tc>
        <w:tc>
          <w:tcPr>
            <w:tcW w:w="540" w:type="dxa"/>
            <w:tcBorders>
              <w:top w:val="nil"/>
              <w:left w:val="nil"/>
              <w:bottom w:val="single" w:sz="4" w:space="0" w:color="auto"/>
              <w:right w:val="single" w:sz="4" w:space="0" w:color="auto"/>
            </w:tcBorders>
            <w:shd w:val="clear" w:color="auto" w:fill="auto"/>
            <w:vAlign w:val="center"/>
            <w:hideMark/>
          </w:tcPr>
          <w:p w14:paraId="55166E37" w14:textId="77777777" w:rsidR="000D2794" w:rsidRDefault="000D2794">
            <w:pPr>
              <w:jc w:val="center"/>
              <w:rPr>
                <w:color w:val="000000"/>
                <w:sz w:val="16"/>
                <w:szCs w:val="16"/>
              </w:rPr>
            </w:pPr>
            <w:r>
              <w:rPr>
                <w:color w:val="000000"/>
                <w:sz w:val="16"/>
                <w:szCs w:val="16"/>
              </w:rPr>
              <w:t>8</w:t>
            </w:r>
          </w:p>
        </w:tc>
        <w:tc>
          <w:tcPr>
            <w:tcW w:w="990" w:type="dxa"/>
            <w:tcBorders>
              <w:top w:val="nil"/>
              <w:left w:val="nil"/>
              <w:bottom w:val="single" w:sz="4" w:space="0" w:color="auto"/>
              <w:right w:val="single" w:sz="4" w:space="0" w:color="auto"/>
            </w:tcBorders>
            <w:shd w:val="clear" w:color="000000" w:fill="FFFFFF"/>
            <w:noWrap/>
            <w:vAlign w:val="center"/>
            <w:hideMark/>
          </w:tcPr>
          <w:p w14:paraId="588F1490" w14:textId="77777777" w:rsidR="000D2794" w:rsidRDefault="000D2794">
            <w:pPr>
              <w:jc w:val="center"/>
              <w:rPr>
                <w:color w:val="000000"/>
                <w:sz w:val="16"/>
                <w:szCs w:val="16"/>
              </w:rPr>
            </w:pPr>
            <w:r>
              <w:rPr>
                <w:color w:val="000000"/>
                <w:sz w:val="16"/>
                <w:szCs w:val="16"/>
              </w:rPr>
              <w:t>24%</w:t>
            </w:r>
          </w:p>
        </w:tc>
        <w:tc>
          <w:tcPr>
            <w:tcW w:w="810" w:type="dxa"/>
            <w:tcBorders>
              <w:top w:val="nil"/>
              <w:left w:val="nil"/>
              <w:bottom w:val="single" w:sz="4" w:space="0" w:color="auto"/>
              <w:right w:val="single" w:sz="4" w:space="0" w:color="auto"/>
            </w:tcBorders>
            <w:shd w:val="clear" w:color="000000" w:fill="FFFFFF"/>
            <w:noWrap/>
            <w:vAlign w:val="center"/>
            <w:hideMark/>
          </w:tcPr>
          <w:p w14:paraId="0414B753" w14:textId="77777777" w:rsidR="000D2794" w:rsidRDefault="000D2794">
            <w:pPr>
              <w:jc w:val="center"/>
              <w:rPr>
                <w:rFonts w:ascii="Calibri" w:hAnsi="Calibri" w:cs="Calibri"/>
                <w:color w:val="000000"/>
                <w:sz w:val="16"/>
                <w:szCs w:val="16"/>
              </w:rPr>
            </w:pPr>
            <w:r>
              <w:rPr>
                <w:rFonts w:ascii="Calibri" w:hAnsi="Calibri" w:cs="Calibri"/>
                <w:color w:val="000000"/>
                <w:sz w:val="16"/>
                <w:szCs w:val="16"/>
              </w:rPr>
              <w:t>7.53</w:t>
            </w:r>
          </w:p>
        </w:tc>
        <w:tc>
          <w:tcPr>
            <w:tcW w:w="1080" w:type="dxa"/>
            <w:tcBorders>
              <w:top w:val="nil"/>
              <w:left w:val="nil"/>
              <w:bottom w:val="single" w:sz="4" w:space="0" w:color="auto"/>
              <w:right w:val="single" w:sz="4" w:space="0" w:color="auto"/>
            </w:tcBorders>
            <w:shd w:val="clear" w:color="000000" w:fill="FFFFFF"/>
            <w:noWrap/>
            <w:vAlign w:val="center"/>
            <w:hideMark/>
          </w:tcPr>
          <w:p w14:paraId="29C9AAEB" w14:textId="77777777" w:rsidR="000D2794" w:rsidRDefault="000D2794">
            <w:pPr>
              <w:jc w:val="center"/>
              <w:rPr>
                <w:color w:val="000000"/>
                <w:sz w:val="16"/>
                <w:szCs w:val="16"/>
              </w:rPr>
            </w:pPr>
            <w:r>
              <w:rPr>
                <w:color w:val="000000"/>
                <w:sz w:val="16"/>
                <w:szCs w:val="16"/>
              </w:rPr>
              <w:t>9.89</w:t>
            </w:r>
          </w:p>
        </w:tc>
        <w:tc>
          <w:tcPr>
            <w:tcW w:w="3015" w:type="dxa"/>
            <w:vMerge/>
            <w:tcBorders>
              <w:left w:val="nil"/>
              <w:right w:val="single" w:sz="4" w:space="0" w:color="auto"/>
            </w:tcBorders>
            <w:shd w:val="clear" w:color="auto" w:fill="auto"/>
            <w:vAlign w:val="center"/>
            <w:hideMark/>
          </w:tcPr>
          <w:p w14:paraId="38AEC2F4" w14:textId="0904EBD4" w:rsidR="000D2794" w:rsidRPr="00FE61C2" w:rsidRDefault="000D2794" w:rsidP="000D2794">
            <w:pPr>
              <w:jc w:val="center"/>
              <w:rPr>
                <w:color w:val="000000"/>
                <w:sz w:val="16"/>
                <w:szCs w:val="16"/>
              </w:rPr>
            </w:pPr>
          </w:p>
        </w:tc>
      </w:tr>
      <w:tr w:rsidR="000D2794" w14:paraId="782B9794" w14:textId="77777777" w:rsidTr="00CD70F5">
        <w:trPr>
          <w:trHeight w:val="840"/>
        </w:trPr>
        <w:tc>
          <w:tcPr>
            <w:tcW w:w="875" w:type="dxa"/>
            <w:tcBorders>
              <w:top w:val="nil"/>
              <w:left w:val="single" w:sz="4" w:space="0" w:color="auto"/>
              <w:bottom w:val="single" w:sz="4" w:space="0" w:color="auto"/>
              <w:right w:val="single" w:sz="4" w:space="0" w:color="auto"/>
            </w:tcBorders>
            <w:shd w:val="clear" w:color="auto" w:fill="auto"/>
            <w:vAlign w:val="center"/>
            <w:hideMark/>
          </w:tcPr>
          <w:p w14:paraId="12A17E00" w14:textId="77777777" w:rsidR="000D2794" w:rsidRDefault="000D2794">
            <w:pPr>
              <w:rPr>
                <w:color w:val="000000"/>
                <w:sz w:val="16"/>
                <w:szCs w:val="16"/>
              </w:rPr>
            </w:pPr>
            <w:r>
              <w:rPr>
                <w:color w:val="000000"/>
                <w:sz w:val="16"/>
                <w:szCs w:val="16"/>
              </w:rPr>
              <w:t>Ericsson</w:t>
            </w:r>
          </w:p>
        </w:tc>
        <w:tc>
          <w:tcPr>
            <w:tcW w:w="802" w:type="dxa"/>
            <w:tcBorders>
              <w:top w:val="nil"/>
              <w:left w:val="nil"/>
              <w:bottom w:val="single" w:sz="4" w:space="0" w:color="auto"/>
              <w:right w:val="single" w:sz="4" w:space="0" w:color="auto"/>
            </w:tcBorders>
            <w:shd w:val="clear" w:color="000000" w:fill="FFFFFF"/>
            <w:vAlign w:val="center"/>
            <w:hideMark/>
          </w:tcPr>
          <w:p w14:paraId="586B8FA7" w14:textId="77777777" w:rsidR="000D2794" w:rsidRDefault="000D2794">
            <w:pPr>
              <w:rPr>
                <w:color w:val="000000"/>
                <w:sz w:val="16"/>
                <w:szCs w:val="16"/>
              </w:rPr>
            </w:pPr>
            <w:r>
              <w:rPr>
                <w:color w:val="000000"/>
                <w:sz w:val="16"/>
                <w:szCs w:val="16"/>
              </w:rPr>
              <w:t>40ms</w:t>
            </w:r>
          </w:p>
        </w:tc>
        <w:tc>
          <w:tcPr>
            <w:tcW w:w="785" w:type="dxa"/>
            <w:tcBorders>
              <w:top w:val="nil"/>
              <w:left w:val="nil"/>
              <w:bottom w:val="single" w:sz="4" w:space="0" w:color="auto"/>
              <w:right w:val="single" w:sz="4" w:space="0" w:color="auto"/>
            </w:tcBorders>
            <w:shd w:val="clear" w:color="auto" w:fill="auto"/>
            <w:vAlign w:val="center"/>
            <w:hideMark/>
          </w:tcPr>
          <w:p w14:paraId="3172E8B7" w14:textId="77777777" w:rsidR="000D2794" w:rsidRDefault="000D2794">
            <w:pPr>
              <w:rPr>
                <w:color w:val="000000"/>
                <w:sz w:val="16"/>
                <w:szCs w:val="16"/>
              </w:rPr>
            </w:pPr>
            <w:r>
              <w:rPr>
                <w:color w:val="000000"/>
                <w:sz w:val="16"/>
                <w:szCs w:val="16"/>
              </w:rPr>
              <w:t>Empty</w:t>
            </w:r>
          </w:p>
        </w:tc>
        <w:tc>
          <w:tcPr>
            <w:tcW w:w="818" w:type="dxa"/>
            <w:tcBorders>
              <w:top w:val="nil"/>
              <w:left w:val="nil"/>
              <w:bottom w:val="single" w:sz="4" w:space="0" w:color="auto"/>
              <w:right w:val="single" w:sz="4" w:space="0" w:color="auto"/>
            </w:tcBorders>
            <w:shd w:val="clear" w:color="auto" w:fill="auto"/>
            <w:vAlign w:val="center"/>
            <w:hideMark/>
          </w:tcPr>
          <w:p w14:paraId="20566F4D" w14:textId="77777777" w:rsidR="000D2794" w:rsidRDefault="000D2794">
            <w:pPr>
              <w:rPr>
                <w:color w:val="000000"/>
                <w:sz w:val="16"/>
                <w:szCs w:val="16"/>
              </w:rPr>
            </w:pPr>
            <w:r>
              <w:rPr>
                <w:color w:val="000000"/>
                <w:sz w:val="16"/>
                <w:szCs w:val="16"/>
              </w:rPr>
              <w:t>FTP3</w:t>
            </w:r>
          </w:p>
        </w:tc>
        <w:tc>
          <w:tcPr>
            <w:tcW w:w="826" w:type="dxa"/>
            <w:tcBorders>
              <w:top w:val="nil"/>
              <w:left w:val="nil"/>
              <w:bottom w:val="single" w:sz="4" w:space="0" w:color="auto"/>
              <w:right w:val="single" w:sz="4" w:space="0" w:color="auto"/>
            </w:tcBorders>
            <w:shd w:val="clear" w:color="auto" w:fill="auto"/>
            <w:vAlign w:val="center"/>
            <w:hideMark/>
          </w:tcPr>
          <w:p w14:paraId="2EF8A701" w14:textId="77777777" w:rsidR="000D2794" w:rsidRDefault="000D2794">
            <w:pPr>
              <w:rPr>
                <w:color w:val="000000"/>
                <w:sz w:val="16"/>
                <w:szCs w:val="16"/>
              </w:rPr>
            </w:pPr>
            <w:r>
              <w:rPr>
                <w:color w:val="000000"/>
                <w:sz w:val="16"/>
                <w:szCs w:val="16"/>
              </w:rPr>
              <w:t>(12, 1, 13)</w:t>
            </w:r>
          </w:p>
        </w:tc>
        <w:tc>
          <w:tcPr>
            <w:tcW w:w="839" w:type="dxa"/>
            <w:tcBorders>
              <w:top w:val="nil"/>
              <w:left w:val="nil"/>
              <w:bottom w:val="single" w:sz="4" w:space="0" w:color="auto"/>
              <w:right w:val="single" w:sz="4" w:space="0" w:color="auto"/>
            </w:tcBorders>
            <w:shd w:val="clear" w:color="auto" w:fill="auto"/>
            <w:hideMark/>
          </w:tcPr>
          <w:p w14:paraId="142B9686" w14:textId="77777777" w:rsidR="000D2794" w:rsidRDefault="000D2794">
            <w:pPr>
              <w:rPr>
                <w:color w:val="000000"/>
                <w:sz w:val="16"/>
                <w:szCs w:val="16"/>
              </w:rPr>
            </w:pPr>
            <w:r>
              <w:rPr>
                <w:color w:val="000000"/>
                <w:sz w:val="16"/>
                <w:szCs w:val="16"/>
              </w:rPr>
              <w:t>(4, 0)</w:t>
            </w:r>
          </w:p>
        </w:tc>
        <w:tc>
          <w:tcPr>
            <w:tcW w:w="900" w:type="dxa"/>
            <w:tcBorders>
              <w:top w:val="nil"/>
              <w:left w:val="nil"/>
              <w:bottom w:val="single" w:sz="4" w:space="0" w:color="auto"/>
              <w:right w:val="single" w:sz="4" w:space="0" w:color="auto"/>
            </w:tcBorders>
            <w:shd w:val="clear" w:color="auto" w:fill="auto"/>
            <w:hideMark/>
          </w:tcPr>
          <w:p w14:paraId="673A5F41" w14:textId="77777777" w:rsidR="000D2794" w:rsidRDefault="000D2794">
            <w:pPr>
              <w:rPr>
                <w:color w:val="000000"/>
                <w:sz w:val="16"/>
                <w:szCs w:val="16"/>
              </w:rPr>
            </w:pPr>
            <w:r>
              <w:rPr>
                <w:color w:val="000000"/>
                <w:sz w:val="16"/>
                <w:szCs w:val="16"/>
              </w:rPr>
              <w:t>C1</w:t>
            </w:r>
          </w:p>
        </w:tc>
        <w:tc>
          <w:tcPr>
            <w:tcW w:w="990" w:type="dxa"/>
            <w:tcBorders>
              <w:top w:val="nil"/>
              <w:left w:val="nil"/>
              <w:bottom w:val="single" w:sz="4" w:space="0" w:color="auto"/>
              <w:right w:val="single" w:sz="4" w:space="0" w:color="auto"/>
            </w:tcBorders>
            <w:shd w:val="clear" w:color="auto" w:fill="auto"/>
            <w:hideMark/>
          </w:tcPr>
          <w:p w14:paraId="456532E1" w14:textId="77777777" w:rsidR="000D2794" w:rsidRDefault="000D2794">
            <w:pPr>
              <w:rPr>
                <w:color w:val="000000"/>
                <w:sz w:val="16"/>
                <w:szCs w:val="16"/>
              </w:rPr>
            </w:pPr>
            <w:r>
              <w:rPr>
                <w:color w:val="000000"/>
                <w:sz w:val="16"/>
                <w:szCs w:val="16"/>
              </w:rPr>
              <w:t>B1</w:t>
            </w:r>
          </w:p>
        </w:tc>
        <w:tc>
          <w:tcPr>
            <w:tcW w:w="810" w:type="dxa"/>
            <w:tcBorders>
              <w:top w:val="nil"/>
              <w:left w:val="nil"/>
              <w:bottom w:val="single" w:sz="4" w:space="0" w:color="auto"/>
              <w:right w:val="single" w:sz="4" w:space="0" w:color="auto"/>
            </w:tcBorders>
            <w:shd w:val="clear" w:color="auto" w:fill="auto"/>
            <w:hideMark/>
          </w:tcPr>
          <w:p w14:paraId="565DBBA7" w14:textId="77777777" w:rsidR="000D2794" w:rsidRDefault="000D2794">
            <w:pPr>
              <w:rPr>
                <w:color w:val="000000"/>
                <w:sz w:val="16"/>
                <w:szCs w:val="16"/>
              </w:rPr>
            </w:pPr>
            <w:r>
              <w:rPr>
                <w:color w:val="000000"/>
                <w:sz w:val="16"/>
                <w:szCs w:val="16"/>
              </w:rPr>
              <w:t>Cat 1 BS</w:t>
            </w:r>
          </w:p>
        </w:tc>
        <w:tc>
          <w:tcPr>
            <w:tcW w:w="540" w:type="dxa"/>
            <w:tcBorders>
              <w:top w:val="nil"/>
              <w:left w:val="nil"/>
              <w:bottom w:val="single" w:sz="4" w:space="0" w:color="auto"/>
              <w:right w:val="single" w:sz="4" w:space="0" w:color="auto"/>
            </w:tcBorders>
            <w:shd w:val="clear" w:color="auto" w:fill="auto"/>
            <w:vAlign w:val="center"/>
            <w:hideMark/>
          </w:tcPr>
          <w:p w14:paraId="64F4CE4E" w14:textId="77777777" w:rsidR="000D2794" w:rsidRDefault="000D2794">
            <w:pPr>
              <w:jc w:val="center"/>
              <w:rPr>
                <w:color w:val="000000"/>
                <w:sz w:val="16"/>
                <w:szCs w:val="16"/>
              </w:rPr>
            </w:pPr>
            <w:r>
              <w:rPr>
                <w:color w:val="000000"/>
                <w:sz w:val="16"/>
                <w:szCs w:val="16"/>
              </w:rPr>
              <w:t>8</w:t>
            </w:r>
          </w:p>
        </w:tc>
        <w:tc>
          <w:tcPr>
            <w:tcW w:w="990" w:type="dxa"/>
            <w:tcBorders>
              <w:top w:val="nil"/>
              <w:left w:val="nil"/>
              <w:bottom w:val="single" w:sz="4" w:space="0" w:color="auto"/>
              <w:right w:val="single" w:sz="4" w:space="0" w:color="auto"/>
            </w:tcBorders>
            <w:shd w:val="clear" w:color="000000" w:fill="FFFFFF"/>
            <w:noWrap/>
            <w:vAlign w:val="center"/>
            <w:hideMark/>
          </w:tcPr>
          <w:p w14:paraId="1E9B81F8" w14:textId="77777777" w:rsidR="000D2794" w:rsidRDefault="000D2794">
            <w:pPr>
              <w:jc w:val="center"/>
              <w:rPr>
                <w:color w:val="000000"/>
                <w:sz w:val="16"/>
                <w:szCs w:val="16"/>
              </w:rPr>
            </w:pPr>
            <w:r>
              <w:rPr>
                <w:color w:val="000000"/>
                <w:sz w:val="16"/>
                <w:szCs w:val="16"/>
              </w:rPr>
              <w:t>24%</w:t>
            </w:r>
          </w:p>
        </w:tc>
        <w:tc>
          <w:tcPr>
            <w:tcW w:w="810" w:type="dxa"/>
            <w:tcBorders>
              <w:top w:val="nil"/>
              <w:left w:val="nil"/>
              <w:bottom w:val="single" w:sz="4" w:space="0" w:color="auto"/>
              <w:right w:val="single" w:sz="4" w:space="0" w:color="auto"/>
            </w:tcBorders>
            <w:shd w:val="clear" w:color="000000" w:fill="FFFFFF"/>
            <w:noWrap/>
            <w:vAlign w:val="center"/>
            <w:hideMark/>
          </w:tcPr>
          <w:p w14:paraId="4ED5D5B1" w14:textId="77777777" w:rsidR="000D2794" w:rsidRDefault="000D2794">
            <w:pPr>
              <w:jc w:val="center"/>
              <w:rPr>
                <w:rFonts w:ascii="Calibri" w:hAnsi="Calibri" w:cs="Calibri"/>
                <w:color w:val="000000"/>
                <w:sz w:val="16"/>
                <w:szCs w:val="16"/>
              </w:rPr>
            </w:pPr>
            <w:r>
              <w:rPr>
                <w:rFonts w:ascii="Calibri" w:hAnsi="Calibri" w:cs="Calibri"/>
                <w:color w:val="000000"/>
                <w:sz w:val="16"/>
                <w:szCs w:val="16"/>
              </w:rPr>
              <w:t>7.53</w:t>
            </w:r>
          </w:p>
        </w:tc>
        <w:tc>
          <w:tcPr>
            <w:tcW w:w="1080" w:type="dxa"/>
            <w:tcBorders>
              <w:top w:val="nil"/>
              <w:left w:val="nil"/>
              <w:bottom w:val="single" w:sz="4" w:space="0" w:color="auto"/>
              <w:right w:val="single" w:sz="4" w:space="0" w:color="auto"/>
            </w:tcBorders>
            <w:shd w:val="clear" w:color="000000" w:fill="FFFFFF"/>
            <w:noWrap/>
            <w:vAlign w:val="center"/>
            <w:hideMark/>
          </w:tcPr>
          <w:p w14:paraId="7C73D5E4" w14:textId="77777777" w:rsidR="000D2794" w:rsidRDefault="000D2794">
            <w:pPr>
              <w:jc w:val="center"/>
              <w:rPr>
                <w:color w:val="000000"/>
                <w:sz w:val="16"/>
                <w:szCs w:val="16"/>
              </w:rPr>
            </w:pPr>
            <w:r>
              <w:rPr>
                <w:color w:val="000000"/>
                <w:sz w:val="16"/>
                <w:szCs w:val="16"/>
              </w:rPr>
              <w:t>9.89</w:t>
            </w:r>
          </w:p>
        </w:tc>
        <w:tc>
          <w:tcPr>
            <w:tcW w:w="3015" w:type="dxa"/>
            <w:vMerge/>
            <w:tcBorders>
              <w:left w:val="nil"/>
              <w:right w:val="single" w:sz="4" w:space="0" w:color="auto"/>
            </w:tcBorders>
            <w:shd w:val="clear" w:color="auto" w:fill="auto"/>
            <w:vAlign w:val="center"/>
            <w:hideMark/>
          </w:tcPr>
          <w:p w14:paraId="02E18FEE" w14:textId="476A3D56" w:rsidR="000D2794" w:rsidRDefault="000D2794" w:rsidP="00CD70F5">
            <w:pPr>
              <w:jc w:val="center"/>
              <w:rPr>
                <w:color w:val="000000"/>
                <w:sz w:val="16"/>
                <w:szCs w:val="16"/>
              </w:rPr>
            </w:pPr>
          </w:p>
        </w:tc>
      </w:tr>
      <w:tr w:rsidR="000D2794" w14:paraId="6F906D47" w14:textId="77777777" w:rsidTr="00CD70F5">
        <w:trPr>
          <w:trHeight w:val="840"/>
        </w:trPr>
        <w:tc>
          <w:tcPr>
            <w:tcW w:w="875" w:type="dxa"/>
            <w:tcBorders>
              <w:top w:val="nil"/>
              <w:left w:val="single" w:sz="4" w:space="0" w:color="auto"/>
              <w:bottom w:val="single" w:sz="4" w:space="0" w:color="auto"/>
              <w:right w:val="single" w:sz="4" w:space="0" w:color="auto"/>
            </w:tcBorders>
            <w:shd w:val="clear" w:color="auto" w:fill="auto"/>
            <w:vAlign w:val="center"/>
            <w:hideMark/>
          </w:tcPr>
          <w:p w14:paraId="2595C958" w14:textId="77777777" w:rsidR="000D2794" w:rsidRDefault="000D2794">
            <w:pPr>
              <w:rPr>
                <w:color w:val="000000"/>
                <w:sz w:val="16"/>
                <w:szCs w:val="16"/>
              </w:rPr>
            </w:pPr>
            <w:r>
              <w:rPr>
                <w:color w:val="000000"/>
                <w:sz w:val="16"/>
                <w:szCs w:val="16"/>
              </w:rPr>
              <w:t>Ericsson</w:t>
            </w:r>
          </w:p>
        </w:tc>
        <w:tc>
          <w:tcPr>
            <w:tcW w:w="802" w:type="dxa"/>
            <w:tcBorders>
              <w:top w:val="nil"/>
              <w:left w:val="nil"/>
              <w:bottom w:val="single" w:sz="4" w:space="0" w:color="auto"/>
              <w:right w:val="single" w:sz="4" w:space="0" w:color="auto"/>
            </w:tcBorders>
            <w:shd w:val="clear" w:color="000000" w:fill="FFFFFF"/>
            <w:vAlign w:val="center"/>
            <w:hideMark/>
          </w:tcPr>
          <w:p w14:paraId="7E5A0331" w14:textId="77777777" w:rsidR="000D2794" w:rsidRDefault="000D2794">
            <w:pPr>
              <w:rPr>
                <w:color w:val="000000"/>
                <w:sz w:val="16"/>
                <w:szCs w:val="16"/>
              </w:rPr>
            </w:pPr>
            <w:r>
              <w:rPr>
                <w:color w:val="000000"/>
                <w:sz w:val="16"/>
                <w:szCs w:val="16"/>
              </w:rPr>
              <w:t>40ms</w:t>
            </w:r>
          </w:p>
        </w:tc>
        <w:tc>
          <w:tcPr>
            <w:tcW w:w="785" w:type="dxa"/>
            <w:tcBorders>
              <w:top w:val="nil"/>
              <w:left w:val="nil"/>
              <w:bottom w:val="single" w:sz="4" w:space="0" w:color="auto"/>
              <w:right w:val="single" w:sz="4" w:space="0" w:color="auto"/>
            </w:tcBorders>
            <w:shd w:val="clear" w:color="auto" w:fill="auto"/>
            <w:vAlign w:val="center"/>
            <w:hideMark/>
          </w:tcPr>
          <w:p w14:paraId="5E3960EA" w14:textId="77777777" w:rsidR="000D2794" w:rsidRDefault="000D2794">
            <w:pPr>
              <w:rPr>
                <w:color w:val="000000"/>
                <w:sz w:val="16"/>
                <w:szCs w:val="16"/>
              </w:rPr>
            </w:pPr>
            <w:r>
              <w:rPr>
                <w:color w:val="000000"/>
                <w:sz w:val="16"/>
                <w:szCs w:val="16"/>
              </w:rPr>
              <w:t>Empty</w:t>
            </w:r>
          </w:p>
        </w:tc>
        <w:tc>
          <w:tcPr>
            <w:tcW w:w="818" w:type="dxa"/>
            <w:tcBorders>
              <w:top w:val="nil"/>
              <w:left w:val="nil"/>
              <w:bottom w:val="single" w:sz="4" w:space="0" w:color="auto"/>
              <w:right w:val="single" w:sz="4" w:space="0" w:color="auto"/>
            </w:tcBorders>
            <w:shd w:val="clear" w:color="auto" w:fill="auto"/>
            <w:vAlign w:val="center"/>
            <w:hideMark/>
          </w:tcPr>
          <w:p w14:paraId="5A47E36C" w14:textId="77777777" w:rsidR="000D2794" w:rsidRDefault="000D2794">
            <w:pPr>
              <w:rPr>
                <w:color w:val="000000"/>
                <w:sz w:val="16"/>
                <w:szCs w:val="16"/>
              </w:rPr>
            </w:pPr>
            <w:r>
              <w:rPr>
                <w:color w:val="000000"/>
                <w:sz w:val="16"/>
                <w:szCs w:val="16"/>
              </w:rPr>
              <w:t>FTP3</w:t>
            </w:r>
          </w:p>
        </w:tc>
        <w:tc>
          <w:tcPr>
            <w:tcW w:w="826" w:type="dxa"/>
            <w:tcBorders>
              <w:top w:val="nil"/>
              <w:left w:val="nil"/>
              <w:bottom w:val="single" w:sz="4" w:space="0" w:color="auto"/>
              <w:right w:val="single" w:sz="4" w:space="0" w:color="auto"/>
            </w:tcBorders>
            <w:shd w:val="clear" w:color="auto" w:fill="auto"/>
            <w:vAlign w:val="center"/>
            <w:hideMark/>
          </w:tcPr>
          <w:p w14:paraId="12EC8E17" w14:textId="77777777" w:rsidR="000D2794" w:rsidRDefault="000D2794">
            <w:pPr>
              <w:rPr>
                <w:color w:val="000000"/>
                <w:sz w:val="16"/>
                <w:szCs w:val="16"/>
              </w:rPr>
            </w:pPr>
            <w:r>
              <w:rPr>
                <w:color w:val="000000"/>
                <w:sz w:val="16"/>
                <w:szCs w:val="16"/>
              </w:rPr>
              <w:t>(12, 1, 13)</w:t>
            </w:r>
          </w:p>
        </w:tc>
        <w:tc>
          <w:tcPr>
            <w:tcW w:w="839" w:type="dxa"/>
            <w:tcBorders>
              <w:top w:val="nil"/>
              <w:left w:val="nil"/>
              <w:bottom w:val="single" w:sz="4" w:space="0" w:color="auto"/>
              <w:right w:val="single" w:sz="4" w:space="0" w:color="auto"/>
            </w:tcBorders>
            <w:shd w:val="clear" w:color="auto" w:fill="auto"/>
            <w:hideMark/>
          </w:tcPr>
          <w:p w14:paraId="1813B265" w14:textId="77777777" w:rsidR="000D2794" w:rsidRDefault="000D2794">
            <w:pPr>
              <w:rPr>
                <w:color w:val="000000"/>
                <w:sz w:val="16"/>
                <w:szCs w:val="16"/>
              </w:rPr>
            </w:pPr>
            <w:r>
              <w:rPr>
                <w:color w:val="000000"/>
                <w:sz w:val="16"/>
                <w:szCs w:val="16"/>
              </w:rPr>
              <w:t>(4, 0)</w:t>
            </w:r>
          </w:p>
        </w:tc>
        <w:tc>
          <w:tcPr>
            <w:tcW w:w="900" w:type="dxa"/>
            <w:tcBorders>
              <w:top w:val="nil"/>
              <w:left w:val="nil"/>
              <w:bottom w:val="single" w:sz="4" w:space="0" w:color="auto"/>
              <w:right w:val="single" w:sz="4" w:space="0" w:color="auto"/>
            </w:tcBorders>
            <w:shd w:val="clear" w:color="auto" w:fill="auto"/>
            <w:hideMark/>
          </w:tcPr>
          <w:p w14:paraId="46AF7C59" w14:textId="77777777" w:rsidR="000D2794" w:rsidRDefault="000D2794">
            <w:pPr>
              <w:rPr>
                <w:color w:val="000000"/>
                <w:sz w:val="16"/>
                <w:szCs w:val="16"/>
              </w:rPr>
            </w:pPr>
            <w:r>
              <w:rPr>
                <w:color w:val="000000"/>
                <w:sz w:val="16"/>
                <w:szCs w:val="16"/>
              </w:rPr>
              <w:t>C2</w:t>
            </w:r>
          </w:p>
        </w:tc>
        <w:tc>
          <w:tcPr>
            <w:tcW w:w="990" w:type="dxa"/>
            <w:tcBorders>
              <w:top w:val="nil"/>
              <w:left w:val="nil"/>
              <w:bottom w:val="single" w:sz="4" w:space="0" w:color="auto"/>
              <w:right w:val="single" w:sz="4" w:space="0" w:color="auto"/>
            </w:tcBorders>
            <w:shd w:val="clear" w:color="auto" w:fill="auto"/>
            <w:hideMark/>
          </w:tcPr>
          <w:p w14:paraId="554229E3" w14:textId="77777777" w:rsidR="000D2794" w:rsidRDefault="000D2794">
            <w:pPr>
              <w:rPr>
                <w:color w:val="000000"/>
                <w:sz w:val="16"/>
                <w:szCs w:val="16"/>
              </w:rPr>
            </w:pPr>
            <w:r>
              <w:rPr>
                <w:color w:val="000000"/>
                <w:sz w:val="16"/>
                <w:szCs w:val="16"/>
              </w:rPr>
              <w:t>A2-1</w:t>
            </w:r>
          </w:p>
        </w:tc>
        <w:tc>
          <w:tcPr>
            <w:tcW w:w="810" w:type="dxa"/>
            <w:tcBorders>
              <w:top w:val="nil"/>
              <w:left w:val="nil"/>
              <w:bottom w:val="single" w:sz="4" w:space="0" w:color="auto"/>
              <w:right w:val="single" w:sz="4" w:space="0" w:color="auto"/>
            </w:tcBorders>
            <w:shd w:val="clear" w:color="auto" w:fill="auto"/>
            <w:hideMark/>
          </w:tcPr>
          <w:p w14:paraId="664DD536" w14:textId="77777777" w:rsidR="000D2794" w:rsidRDefault="000D2794">
            <w:pPr>
              <w:rPr>
                <w:color w:val="000000"/>
                <w:sz w:val="16"/>
                <w:szCs w:val="16"/>
              </w:rPr>
            </w:pPr>
            <w:r>
              <w:rPr>
                <w:color w:val="000000"/>
                <w:sz w:val="16"/>
                <w:szCs w:val="16"/>
              </w:rPr>
              <w:t>Cat 1 BS</w:t>
            </w:r>
          </w:p>
        </w:tc>
        <w:tc>
          <w:tcPr>
            <w:tcW w:w="540" w:type="dxa"/>
            <w:tcBorders>
              <w:top w:val="nil"/>
              <w:left w:val="nil"/>
              <w:bottom w:val="single" w:sz="4" w:space="0" w:color="auto"/>
              <w:right w:val="single" w:sz="4" w:space="0" w:color="auto"/>
            </w:tcBorders>
            <w:shd w:val="clear" w:color="auto" w:fill="auto"/>
            <w:vAlign w:val="center"/>
            <w:hideMark/>
          </w:tcPr>
          <w:p w14:paraId="52F95A19" w14:textId="77777777" w:rsidR="000D2794" w:rsidRDefault="000D2794">
            <w:pPr>
              <w:jc w:val="center"/>
              <w:rPr>
                <w:color w:val="000000"/>
                <w:sz w:val="16"/>
                <w:szCs w:val="16"/>
              </w:rPr>
            </w:pPr>
            <w:r>
              <w:rPr>
                <w:color w:val="000000"/>
                <w:sz w:val="16"/>
                <w:szCs w:val="16"/>
              </w:rPr>
              <w:t>8</w:t>
            </w:r>
          </w:p>
        </w:tc>
        <w:tc>
          <w:tcPr>
            <w:tcW w:w="990" w:type="dxa"/>
            <w:tcBorders>
              <w:top w:val="nil"/>
              <w:left w:val="nil"/>
              <w:bottom w:val="single" w:sz="4" w:space="0" w:color="auto"/>
              <w:right w:val="single" w:sz="4" w:space="0" w:color="auto"/>
            </w:tcBorders>
            <w:shd w:val="clear" w:color="000000" w:fill="FFFFFF"/>
            <w:noWrap/>
            <w:vAlign w:val="center"/>
            <w:hideMark/>
          </w:tcPr>
          <w:p w14:paraId="430256FC" w14:textId="77777777" w:rsidR="000D2794" w:rsidRDefault="000D2794">
            <w:pPr>
              <w:jc w:val="center"/>
              <w:rPr>
                <w:color w:val="000000"/>
                <w:sz w:val="16"/>
                <w:szCs w:val="16"/>
              </w:rPr>
            </w:pPr>
            <w:r>
              <w:rPr>
                <w:color w:val="000000"/>
                <w:sz w:val="16"/>
                <w:szCs w:val="16"/>
              </w:rPr>
              <w:t>0%</w:t>
            </w:r>
          </w:p>
        </w:tc>
        <w:tc>
          <w:tcPr>
            <w:tcW w:w="810" w:type="dxa"/>
            <w:tcBorders>
              <w:top w:val="nil"/>
              <w:left w:val="nil"/>
              <w:bottom w:val="single" w:sz="4" w:space="0" w:color="auto"/>
              <w:right w:val="single" w:sz="4" w:space="0" w:color="auto"/>
            </w:tcBorders>
            <w:shd w:val="clear" w:color="000000" w:fill="FFFFFF"/>
            <w:noWrap/>
            <w:vAlign w:val="center"/>
            <w:hideMark/>
          </w:tcPr>
          <w:p w14:paraId="4BCFDC96" w14:textId="77777777" w:rsidR="000D2794" w:rsidRDefault="000D2794">
            <w:pPr>
              <w:jc w:val="center"/>
              <w:rPr>
                <w:color w:val="000000"/>
                <w:sz w:val="16"/>
                <w:szCs w:val="16"/>
              </w:rPr>
            </w:pPr>
            <w:r>
              <w:rPr>
                <w:color w:val="000000"/>
                <w:sz w:val="16"/>
                <w:szCs w:val="16"/>
              </w:rPr>
              <w:t>6.59</w:t>
            </w:r>
          </w:p>
        </w:tc>
        <w:tc>
          <w:tcPr>
            <w:tcW w:w="1080" w:type="dxa"/>
            <w:tcBorders>
              <w:top w:val="nil"/>
              <w:left w:val="nil"/>
              <w:bottom w:val="single" w:sz="4" w:space="0" w:color="auto"/>
              <w:right w:val="single" w:sz="4" w:space="0" w:color="auto"/>
            </w:tcBorders>
            <w:shd w:val="clear" w:color="000000" w:fill="FFFFFF"/>
            <w:noWrap/>
            <w:vAlign w:val="center"/>
            <w:hideMark/>
          </w:tcPr>
          <w:p w14:paraId="004E3492" w14:textId="77777777" w:rsidR="000D2794" w:rsidRDefault="000D2794">
            <w:pPr>
              <w:jc w:val="center"/>
              <w:rPr>
                <w:color w:val="000000"/>
                <w:sz w:val="16"/>
                <w:szCs w:val="16"/>
              </w:rPr>
            </w:pPr>
            <w:r>
              <w:rPr>
                <w:color w:val="000000"/>
                <w:sz w:val="16"/>
                <w:szCs w:val="16"/>
              </w:rPr>
              <w:t>6.58</w:t>
            </w:r>
          </w:p>
        </w:tc>
        <w:tc>
          <w:tcPr>
            <w:tcW w:w="3015" w:type="dxa"/>
            <w:vMerge/>
            <w:tcBorders>
              <w:left w:val="nil"/>
              <w:right w:val="single" w:sz="4" w:space="0" w:color="auto"/>
            </w:tcBorders>
            <w:shd w:val="clear" w:color="auto" w:fill="auto"/>
            <w:vAlign w:val="center"/>
            <w:hideMark/>
          </w:tcPr>
          <w:p w14:paraId="534382DB" w14:textId="2656BCA8" w:rsidR="000D2794" w:rsidRDefault="000D2794" w:rsidP="00CD70F5">
            <w:pPr>
              <w:jc w:val="center"/>
              <w:rPr>
                <w:color w:val="000000"/>
                <w:sz w:val="16"/>
                <w:szCs w:val="16"/>
              </w:rPr>
            </w:pPr>
          </w:p>
        </w:tc>
      </w:tr>
      <w:tr w:rsidR="000D2794" w14:paraId="2BB8E7DC" w14:textId="77777777" w:rsidTr="00CD70F5">
        <w:trPr>
          <w:trHeight w:val="1050"/>
        </w:trPr>
        <w:tc>
          <w:tcPr>
            <w:tcW w:w="875" w:type="dxa"/>
            <w:tcBorders>
              <w:top w:val="nil"/>
              <w:left w:val="single" w:sz="4" w:space="0" w:color="auto"/>
              <w:bottom w:val="single" w:sz="4" w:space="0" w:color="auto"/>
              <w:right w:val="single" w:sz="4" w:space="0" w:color="auto"/>
            </w:tcBorders>
            <w:shd w:val="clear" w:color="auto" w:fill="auto"/>
            <w:vAlign w:val="center"/>
            <w:hideMark/>
          </w:tcPr>
          <w:p w14:paraId="7638C3CF" w14:textId="77777777" w:rsidR="000D2794" w:rsidRDefault="000D2794">
            <w:pPr>
              <w:rPr>
                <w:color w:val="000000"/>
                <w:sz w:val="16"/>
                <w:szCs w:val="16"/>
              </w:rPr>
            </w:pPr>
            <w:r>
              <w:rPr>
                <w:color w:val="000000"/>
                <w:sz w:val="16"/>
                <w:szCs w:val="16"/>
              </w:rPr>
              <w:t>Ericsson</w:t>
            </w:r>
          </w:p>
        </w:tc>
        <w:tc>
          <w:tcPr>
            <w:tcW w:w="802" w:type="dxa"/>
            <w:tcBorders>
              <w:top w:val="nil"/>
              <w:left w:val="nil"/>
              <w:bottom w:val="single" w:sz="4" w:space="0" w:color="auto"/>
              <w:right w:val="single" w:sz="4" w:space="0" w:color="auto"/>
            </w:tcBorders>
            <w:shd w:val="clear" w:color="000000" w:fill="FFFFFF"/>
            <w:vAlign w:val="center"/>
            <w:hideMark/>
          </w:tcPr>
          <w:p w14:paraId="7ABCD954" w14:textId="77777777" w:rsidR="000D2794" w:rsidRDefault="000D2794">
            <w:pPr>
              <w:rPr>
                <w:color w:val="000000"/>
                <w:sz w:val="16"/>
                <w:szCs w:val="16"/>
              </w:rPr>
            </w:pPr>
            <w:r>
              <w:rPr>
                <w:color w:val="000000"/>
                <w:sz w:val="16"/>
                <w:szCs w:val="16"/>
              </w:rPr>
              <w:t>40ms</w:t>
            </w:r>
          </w:p>
        </w:tc>
        <w:tc>
          <w:tcPr>
            <w:tcW w:w="785" w:type="dxa"/>
            <w:tcBorders>
              <w:top w:val="nil"/>
              <w:left w:val="nil"/>
              <w:bottom w:val="single" w:sz="4" w:space="0" w:color="auto"/>
              <w:right w:val="single" w:sz="4" w:space="0" w:color="auto"/>
            </w:tcBorders>
            <w:shd w:val="clear" w:color="auto" w:fill="auto"/>
            <w:vAlign w:val="center"/>
            <w:hideMark/>
          </w:tcPr>
          <w:p w14:paraId="39EA528B" w14:textId="77777777" w:rsidR="000D2794" w:rsidRDefault="000D2794">
            <w:pPr>
              <w:rPr>
                <w:color w:val="000000"/>
                <w:sz w:val="16"/>
                <w:szCs w:val="16"/>
              </w:rPr>
            </w:pPr>
            <w:r>
              <w:rPr>
                <w:color w:val="000000"/>
                <w:sz w:val="16"/>
                <w:szCs w:val="16"/>
              </w:rPr>
              <w:t>Empty</w:t>
            </w:r>
          </w:p>
        </w:tc>
        <w:tc>
          <w:tcPr>
            <w:tcW w:w="818" w:type="dxa"/>
            <w:tcBorders>
              <w:top w:val="nil"/>
              <w:left w:val="nil"/>
              <w:bottom w:val="single" w:sz="4" w:space="0" w:color="auto"/>
              <w:right w:val="single" w:sz="4" w:space="0" w:color="auto"/>
            </w:tcBorders>
            <w:shd w:val="clear" w:color="auto" w:fill="auto"/>
            <w:vAlign w:val="center"/>
            <w:hideMark/>
          </w:tcPr>
          <w:p w14:paraId="6D6D6F0B" w14:textId="77777777" w:rsidR="000D2794" w:rsidRDefault="000D2794">
            <w:pPr>
              <w:rPr>
                <w:color w:val="000000"/>
                <w:sz w:val="16"/>
                <w:szCs w:val="16"/>
              </w:rPr>
            </w:pPr>
            <w:r>
              <w:rPr>
                <w:color w:val="000000"/>
                <w:sz w:val="16"/>
                <w:szCs w:val="16"/>
              </w:rPr>
              <w:t>FTP3</w:t>
            </w:r>
          </w:p>
        </w:tc>
        <w:tc>
          <w:tcPr>
            <w:tcW w:w="826" w:type="dxa"/>
            <w:tcBorders>
              <w:top w:val="nil"/>
              <w:left w:val="nil"/>
              <w:bottom w:val="single" w:sz="4" w:space="0" w:color="auto"/>
              <w:right w:val="single" w:sz="4" w:space="0" w:color="auto"/>
            </w:tcBorders>
            <w:shd w:val="clear" w:color="auto" w:fill="auto"/>
            <w:vAlign w:val="center"/>
            <w:hideMark/>
          </w:tcPr>
          <w:p w14:paraId="1A49DCF4" w14:textId="77777777" w:rsidR="000D2794" w:rsidRDefault="000D2794">
            <w:pPr>
              <w:rPr>
                <w:color w:val="000000"/>
                <w:sz w:val="16"/>
                <w:szCs w:val="16"/>
              </w:rPr>
            </w:pPr>
            <w:r>
              <w:rPr>
                <w:color w:val="000000"/>
                <w:sz w:val="16"/>
                <w:szCs w:val="16"/>
              </w:rPr>
              <w:t>(12, 1, 13)</w:t>
            </w:r>
          </w:p>
        </w:tc>
        <w:tc>
          <w:tcPr>
            <w:tcW w:w="839" w:type="dxa"/>
            <w:tcBorders>
              <w:top w:val="nil"/>
              <w:left w:val="nil"/>
              <w:bottom w:val="single" w:sz="4" w:space="0" w:color="auto"/>
              <w:right w:val="single" w:sz="4" w:space="0" w:color="auto"/>
            </w:tcBorders>
            <w:shd w:val="clear" w:color="auto" w:fill="auto"/>
            <w:hideMark/>
          </w:tcPr>
          <w:p w14:paraId="1EAE3C1B" w14:textId="77777777" w:rsidR="000D2794" w:rsidRDefault="000D2794">
            <w:pPr>
              <w:rPr>
                <w:color w:val="000000"/>
                <w:sz w:val="16"/>
                <w:szCs w:val="16"/>
              </w:rPr>
            </w:pPr>
            <w:r>
              <w:rPr>
                <w:color w:val="000000"/>
                <w:sz w:val="16"/>
                <w:szCs w:val="16"/>
              </w:rPr>
              <w:t>(4, 0)</w:t>
            </w:r>
          </w:p>
        </w:tc>
        <w:tc>
          <w:tcPr>
            <w:tcW w:w="900" w:type="dxa"/>
            <w:tcBorders>
              <w:top w:val="nil"/>
              <w:left w:val="nil"/>
              <w:bottom w:val="single" w:sz="4" w:space="0" w:color="auto"/>
              <w:right w:val="single" w:sz="4" w:space="0" w:color="auto"/>
            </w:tcBorders>
            <w:shd w:val="clear" w:color="auto" w:fill="auto"/>
            <w:hideMark/>
          </w:tcPr>
          <w:p w14:paraId="1D44ABE1" w14:textId="77777777" w:rsidR="000D2794" w:rsidRDefault="000D2794">
            <w:pPr>
              <w:rPr>
                <w:color w:val="000000"/>
                <w:sz w:val="16"/>
                <w:szCs w:val="16"/>
              </w:rPr>
            </w:pPr>
            <w:r>
              <w:rPr>
                <w:color w:val="000000"/>
                <w:sz w:val="16"/>
                <w:szCs w:val="16"/>
              </w:rPr>
              <w:t>C2</w:t>
            </w:r>
          </w:p>
        </w:tc>
        <w:tc>
          <w:tcPr>
            <w:tcW w:w="990" w:type="dxa"/>
            <w:tcBorders>
              <w:top w:val="nil"/>
              <w:left w:val="nil"/>
              <w:bottom w:val="single" w:sz="4" w:space="0" w:color="auto"/>
              <w:right w:val="single" w:sz="4" w:space="0" w:color="auto"/>
            </w:tcBorders>
            <w:shd w:val="clear" w:color="auto" w:fill="auto"/>
            <w:hideMark/>
          </w:tcPr>
          <w:p w14:paraId="6E82A8EF" w14:textId="77777777" w:rsidR="000D2794" w:rsidRDefault="000D2794">
            <w:pPr>
              <w:rPr>
                <w:color w:val="000000"/>
                <w:sz w:val="16"/>
                <w:szCs w:val="16"/>
              </w:rPr>
            </w:pPr>
            <w:r>
              <w:rPr>
                <w:color w:val="000000"/>
                <w:sz w:val="16"/>
                <w:szCs w:val="16"/>
              </w:rPr>
              <w:t>B2</w:t>
            </w:r>
          </w:p>
        </w:tc>
        <w:tc>
          <w:tcPr>
            <w:tcW w:w="810" w:type="dxa"/>
            <w:tcBorders>
              <w:top w:val="nil"/>
              <w:left w:val="nil"/>
              <w:bottom w:val="single" w:sz="4" w:space="0" w:color="auto"/>
              <w:right w:val="single" w:sz="4" w:space="0" w:color="auto"/>
            </w:tcBorders>
            <w:shd w:val="clear" w:color="auto" w:fill="auto"/>
            <w:hideMark/>
          </w:tcPr>
          <w:p w14:paraId="2597BCA1" w14:textId="77777777" w:rsidR="000D2794" w:rsidRDefault="000D2794">
            <w:pPr>
              <w:rPr>
                <w:color w:val="000000"/>
                <w:sz w:val="16"/>
                <w:szCs w:val="16"/>
              </w:rPr>
            </w:pPr>
            <w:r>
              <w:rPr>
                <w:color w:val="000000"/>
                <w:sz w:val="16"/>
                <w:szCs w:val="16"/>
              </w:rPr>
              <w:t>Cat 1 BS</w:t>
            </w:r>
          </w:p>
        </w:tc>
        <w:tc>
          <w:tcPr>
            <w:tcW w:w="540" w:type="dxa"/>
            <w:tcBorders>
              <w:top w:val="nil"/>
              <w:left w:val="nil"/>
              <w:bottom w:val="single" w:sz="4" w:space="0" w:color="auto"/>
              <w:right w:val="single" w:sz="4" w:space="0" w:color="auto"/>
            </w:tcBorders>
            <w:shd w:val="clear" w:color="auto" w:fill="auto"/>
            <w:vAlign w:val="center"/>
            <w:hideMark/>
          </w:tcPr>
          <w:p w14:paraId="492C443B" w14:textId="77777777" w:rsidR="000D2794" w:rsidRDefault="000D2794">
            <w:pPr>
              <w:jc w:val="center"/>
              <w:rPr>
                <w:color w:val="000000"/>
                <w:sz w:val="16"/>
                <w:szCs w:val="16"/>
              </w:rPr>
            </w:pPr>
            <w:r>
              <w:rPr>
                <w:color w:val="000000"/>
                <w:sz w:val="16"/>
                <w:szCs w:val="16"/>
              </w:rPr>
              <w:t>8</w:t>
            </w:r>
          </w:p>
        </w:tc>
        <w:tc>
          <w:tcPr>
            <w:tcW w:w="990" w:type="dxa"/>
            <w:tcBorders>
              <w:top w:val="nil"/>
              <w:left w:val="nil"/>
              <w:bottom w:val="single" w:sz="4" w:space="0" w:color="auto"/>
              <w:right w:val="single" w:sz="4" w:space="0" w:color="auto"/>
            </w:tcBorders>
            <w:shd w:val="clear" w:color="000000" w:fill="FFFFFF"/>
            <w:noWrap/>
            <w:vAlign w:val="center"/>
            <w:hideMark/>
          </w:tcPr>
          <w:p w14:paraId="424259CF" w14:textId="77777777" w:rsidR="000D2794" w:rsidRDefault="000D2794">
            <w:pPr>
              <w:jc w:val="center"/>
              <w:rPr>
                <w:color w:val="000000"/>
                <w:sz w:val="16"/>
                <w:szCs w:val="16"/>
              </w:rPr>
            </w:pPr>
            <w:r>
              <w:rPr>
                <w:color w:val="000000"/>
                <w:sz w:val="16"/>
                <w:szCs w:val="16"/>
              </w:rPr>
              <w:t>0%</w:t>
            </w:r>
          </w:p>
        </w:tc>
        <w:tc>
          <w:tcPr>
            <w:tcW w:w="810" w:type="dxa"/>
            <w:tcBorders>
              <w:top w:val="nil"/>
              <w:left w:val="nil"/>
              <w:bottom w:val="single" w:sz="4" w:space="0" w:color="auto"/>
              <w:right w:val="single" w:sz="4" w:space="0" w:color="auto"/>
            </w:tcBorders>
            <w:shd w:val="clear" w:color="000000" w:fill="FFFFFF"/>
            <w:noWrap/>
            <w:vAlign w:val="center"/>
            <w:hideMark/>
          </w:tcPr>
          <w:p w14:paraId="067C33E4" w14:textId="77777777" w:rsidR="000D2794" w:rsidRDefault="000D2794">
            <w:pPr>
              <w:jc w:val="center"/>
              <w:rPr>
                <w:color w:val="000000"/>
                <w:sz w:val="16"/>
                <w:szCs w:val="16"/>
              </w:rPr>
            </w:pPr>
            <w:r>
              <w:rPr>
                <w:color w:val="000000"/>
                <w:sz w:val="16"/>
                <w:szCs w:val="16"/>
              </w:rPr>
              <w:t>6.59</w:t>
            </w:r>
          </w:p>
        </w:tc>
        <w:tc>
          <w:tcPr>
            <w:tcW w:w="1080" w:type="dxa"/>
            <w:tcBorders>
              <w:top w:val="nil"/>
              <w:left w:val="nil"/>
              <w:bottom w:val="single" w:sz="4" w:space="0" w:color="auto"/>
              <w:right w:val="single" w:sz="4" w:space="0" w:color="auto"/>
            </w:tcBorders>
            <w:shd w:val="clear" w:color="000000" w:fill="FFFFFF"/>
            <w:noWrap/>
            <w:vAlign w:val="center"/>
            <w:hideMark/>
          </w:tcPr>
          <w:p w14:paraId="65DF7590" w14:textId="77777777" w:rsidR="000D2794" w:rsidRDefault="000D2794">
            <w:pPr>
              <w:jc w:val="center"/>
              <w:rPr>
                <w:color w:val="000000"/>
                <w:sz w:val="16"/>
                <w:szCs w:val="16"/>
              </w:rPr>
            </w:pPr>
            <w:r>
              <w:rPr>
                <w:color w:val="000000"/>
                <w:sz w:val="16"/>
                <w:szCs w:val="16"/>
              </w:rPr>
              <w:t>6.60</w:t>
            </w:r>
          </w:p>
        </w:tc>
        <w:tc>
          <w:tcPr>
            <w:tcW w:w="3015" w:type="dxa"/>
            <w:vMerge/>
            <w:tcBorders>
              <w:left w:val="nil"/>
              <w:right w:val="single" w:sz="4" w:space="0" w:color="auto"/>
            </w:tcBorders>
            <w:shd w:val="clear" w:color="auto" w:fill="auto"/>
            <w:vAlign w:val="center"/>
            <w:hideMark/>
          </w:tcPr>
          <w:p w14:paraId="48ADF6F2" w14:textId="7E6DB8CB" w:rsidR="000D2794" w:rsidRDefault="000D2794" w:rsidP="00CD70F5">
            <w:pPr>
              <w:jc w:val="center"/>
              <w:rPr>
                <w:color w:val="000000"/>
                <w:sz w:val="16"/>
                <w:szCs w:val="16"/>
              </w:rPr>
            </w:pPr>
          </w:p>
        </w:tc>
      </w:tr>
      <w:tr w:rsidR="000D2794" w14:paraId="72540BE7" w14:textId="77777777" w:rsidTr="00CD70F5">
        <w:trPr>
          <w:trHeight w:val="840"/>
        </w:trPr>
        <w:tc>
          <w:tcPr>
            <w:tcW w:w="875" w:type="dxa"/>
            <w:tcBorders>
              <w:top w:val="nil"/>
              <w:left w:val="single" w:sz="4" w:space="0" w:color="auto"/>
              <w:bottom w:val="single" w:sz="4" w:space="0" w:color="auto"/>
              <w:right w:val="single" w:sz="4" w:space="0" w:color="auto"/>
            </w:tcBorders>
            <w:shd w:val="clear" w:color="auto" w:fill="auto"/>
            <w:vAlign w:val="center"/>
            <w:hideMark/>
          </w:tcPr>
          <w:p w14:paraId="4DA92220" w14:textId="77777777" w:rsidR="000D2794" w:rsidRDefault="000D2794">
            <w:pPr>
              <w:rPr>
                <w:color w:val="000000"/>
                <w:sz w:val="16"/>
                <w:szCs w:val="16"/>
              </w:rPr>
            </w:pPr>
            <w:r>
              <w:rPr>
                <w:color w:val="000000"/>
                <w:sz w:val="16"/>
                <w:szCs w:val="16"/>
              </w:rPr>
              <w:t>Ericsson</w:t>
            </w:r>
          </w:p>
        </w:tc>
        <w:tc>
          <w:tcPr>
            <w:tcW w:w="802" w:type="dxa"/>
            <w:tcBorders>
              <w:top w:val="nil"/>
              <w:left w:val="nil"/>
              <w:bottom w:val="single" w:sz="4" w:space="0" w:color="auto"/>
              <w:right w:val="single" w:sz="4" w:space="0" w:color="auto"/>
            </w:tcBorders>
            <w:shd w:val="clear" w:color="000000" w:fill="FFFFFF"/>
            <w:vAlign w:val="center"/>
            <w:hideMark/>
          </w:tcPr>
          <w:p w14:paraId="6C8EF472" w14:textId="77777777" w:rsidR="000D2794" w:rsidRDefault="000D2794">
            <w:pPr>
              <w:rPr>
                <w:color w:val="000000"/>
                <w:sz w:val="16"/>
                <w:szCs w:val="16"/>
              </w:rPr>
            </w:pPr>
            <w:r>
              <w:rPr>
                <w:color w:val="000000"/>
                <w:sz w:val="16"/>
                <w:szCs w:val="16"/>
              </w:rPr>
              <w:t>160ms</w:t>
            </w:r>
          </w:p>
        </w:tc>
        <w:tc>
          <w:tcPr>
            <w:tcW w:w="785" w:type="dxa"/>
            <w:tcBorders>
              <w:top w:val="nil"/>
              <w:left w:val="nil"/>
              <w:bottom w:val="single" w:sz="4" w:space="0" w:color="auto"/>
              <w:right w:val="single" w:sz="4" w:space="0" w:color="auto"/>
            </w:tcBorders>
            <w:shd w:val="clear" w:color="auto" w:fill="auto"/>
            <w:vAlign w:val="center"/>
            <w:hideMark/>
          </w:tcPr>
          <w:p w14:paraId="4344BCEA" w14:textId="77777777" w:rsidR="000D2794" w:rsidRDefault="000D2794">
            <w:pPr>
              <w:rPr>
                <w:color w:val="000000"/>
                <w:sz w:val="16"/>
                <w:szCs w:val="16"/>
              </w:rPr>
            </w:pPr>
            <w:r>
              <w:rPr>
                <w:color w:val="000000"/>
                <w:sz w:val="16"/>
                <w:szCs w:val="16"/>
              </w:rPr>
              <w:t>Empty</w:t>
            </w:r>
          </w:p>
        </w:tc>
        <w:tc>
          <w:tcPr>
            <w:tcW w:w="818" w:type="dxa"/>
            <w:tcBorders>
              <w:top w:val="nil"/>
              <w:left w:val="nil"/>
              <w:bottom w:val="single" w:sz="4" w:space="0" w:color="auto"/>
              <w:right w:val="single" w:sz="4" w:space="0" w:color="auto"/>
            </w:tcBorders>
            <w:shd w:val="clear" w:color="auto" w:fill="auto"/>
            <w:vAlign w:val="center"/>
            <w:hideMark/>
          </w:tcPr>
          <w:p w14:paraId="3F102E75" w14:textId="77777777" w:rsidR="000D2794" w:rsidRDefault="000D2794">
            <w:pPr>
              <w:rPr>
                <w:color w:val="000000"/>
                <w:sz w:val="16"/>
                <w:szCs w:val="16"/>
              </w:rPr>
            </w:pPr>
            <w:r>
              <w:rPr>
                <w:color w:val="000000"/>
                <w:sz w:val="16"/>
                <w:szCs w:val="16"/>
              </w:rPr>
              <w:t>FTP3</w:t>
            </w:r>
          </w:p>
        </w:tc>
        <w:tc>
          <w:tcPr>
            <w:tcW w:w="826" w:type="dxa"/>
            <w:tcBorders>
              <w:top w:val="nil"/>
              <w:left w:val="nil"/>
              <w:bottom w:val="single" w:sz="4" w:space="0" w:color="auto"/>
              <w:right w:val="single" w:sz="4" w:space="0" w:color="auto"/>
            </w:tcBorders>
            <w:shd w:val="clear" w:color="auto" w:fill="auto"/>
            <w:vAlign w:val="center"/>
            <w:hideMark/>
          </w:tcPr>
          <w:p w14:paraId="6AD302FC" w14:textId="77777777" w:rsidR="000D2794" w:rsidRDefault="000D2794">
            <w:pPr>
              <w:rPr>
                <w:color w:val="000000"/>
                <w:sz w:val="16"/>
                <w:szCs w:val="16"/>
              </w:rPr>
            </w:pPr>
            <w:r>
              <w:rPr>
                <w:color w:val="000000"/>
                <w:sz w:val="16"/>
                <w:szCs w:val="16"/>
              </w:rPr>
              <w:t>(12, 1, 13)</w:t>
            </w:r>
          </w:p>
        </w:tc>
        <w:tc>
          <w:tcPr>
            <w:tcW w:w="839" w:type="dxa"/>
            <w:tcBorders>
              <w:top w:val="nil"/>
              <w:left w:val="nil"/>
              <w:bottom w:val="single" w:sz="4" w:space="0" w:color="auto"/>
              <w:right w:val="single" w:sz="4" w:space="0" w:color="auto"/>
            </w:tcBorders>
            <w:shd w:val="clear" w:color="auto" w:fill="auto"/>
            <w:hideMark/>
          </w:tcPr>
          <w:p w14:paraId="3C267E80" w14:textId="77777777" w:rsidR="000D2794" w:rsidRDefault="000D2794">
            <w:pPr>
              <w:rPr>
                <w:color w:val="000000"/>
                <w:sz w:val="16"/>
                <w:szCs w:val="16"/>
              </w:rPr>
            </w:pPr>
            <w:r>
              <w:rPr>
                <w:color w:val="000000"/>
                <w:sz w:val="16"/>
                <w:szCs w:val="16"/>
              </w:rPr>
              <w:t>(4, 0)</w:t>
            </w:r>
          </w:p>
        </w:tc>
        <w:tc>
          <w:tcPr>
            <w:tcW w:w="900" w:type="dxa"/>
            <w:tcBorders>
              <w:top w:val="nil"/>
              <w:left w:val="nil"/>
              <w:bottom w:val="single" w:sz="4" w:space="0" w:color="auto"/>
              <w:right w:val="single" w:sz="4" w:space="0" w:color="auto"/>
            </w:tcBorders>
            <w:shd w:val="clear" w:color="auto" w:fill="auto"/>
            <w:hideMark/>
          </w:tcPr>
          <w:p w14:paraId="2BCFBF34" w14:textId="77777777" w:rsidR="000D2794" w:rsidRDefault="000D2794">
            <w:pPr>
              <w:rPr>
                <w:color w:val="000000"/>
                <w:sz w:val="16"/>
                <w:szCs w:val="16"/>
              </w:rPr>
            </w:pPr>
            <w:r>
              <w:rPr>
                <w:color w:val="000000"/>
                <w:sz w:val="16"/>
                <w:szCs w:val="16"/>
              </w:rPr>
              <w:t>C2</w:t>
            </w:r>
          </w:p>
        </w:tc>
        <w:tc>
          <w:tcPr>
            <w:tcW w:w="990" w:type="dxa"/>
            <w:tcBorders>
              <w:top w:val="nil"/>
              <w:left w:val="nil"/>
              <w:bottom w:val="single" w:sz="4" w:space="0" w:color="auto"/>
              <w:right w:val="single" w:sz="4" w:space="0" w:color="auto"/>
            </w:tcBorders>
            <w:shd w:val="clear" w:color="auto" w:fill="auto"/>
            <w:hideMark/>
          </w:tcPr>
          <w:p w14:paraId="5BE70B66" w14:textId="77777777" w:rsidR="000D2794" w:rsidRDefault="000D2794">
            <w:pPr>
              <w:rPr>
                <w:color w:val="000000"/>
                <w:sz w:val="16"/>
                <w:szCs w:val="16"/>
              </w:rPr>
            </w:pPr>
            <w:r>
              <w:rPr>
                <w:color w:val="000000"/>
                <w:sz w:val="16"/>
                <w:szCs w:val="16"/>
              </w:rPr>
              <w:t>A2-1</w:t>
            </w:r>
          </w:p>
        </w:tc>
        <w:tc>
          <w:tcPr>
            <w:tcW w:w="810" w:type="dxa"/>
            <w:tcBorders>
              <w:top w:val="nil"/>
              <w:left w:val="nil"/>
              <w:bottom w:val="single" w:sz="4" w:space="0" w:color="auto"/>
              <w:right w:val="single" w:sz="4" w:space="0" w:color="auto"/>
            </w:tcBorders>
            <w:shd w:val="clear" w:color="auto" w:fill="auto"/>
            <w:hideMark/>
          </w:tcPr>
          <w:p w14:paraId="49AD3C45" w14:textId="77777777" w:rsidR="000D2794" w:rsidRDefault="000D2794">
            <w:pPr>
              <w:rPr>
                <w:color w:val="000000"/>
                <w:sz w:val="16"/>
                <w:szCs w:val="16"/>
              </w:rPr>
            </w:pPr>
            <w:r>
              <w:rPr>
                <w:color w:val="000000"/>
                <w:sz w:val="16"/>
                <w:szCs w:val="16"/>
              </w:rPr>
              <w:t>Cat 1 BS</w:t>
            </w:r>
          </w:p>
        </w:tc>
        <w:tc>
          <w:tcPr>
            <w:tcW w:w="540" w:type="dxa"/>
            <w:tcBorders>
              <w:top w:val="nil"/>
              <w:left w:val="nil"/>
              <w:bottom w:val="single" w:sz="4" w:space="0" w:color="auto"/>
              <w:right w:val="single" w:sz="4" w:space="0" w:color="auto"/>
            </w:tcBorders>
            <w:shd w:val="clear" w:color="auto" w:fill="auto"/>
            <w:vAlign w:val="center"/>
            <w:hideMark/>
          </w:tcPr>
          <w:p w14:paraId="15EDF258" w14:textId="77777777" w:rsidR="000D2794" w:rsidRDefault="000D2794">
            <w:pPr>
              <w:jc w:val="center"/>
              <w:rPr>
                <w:color w:val="000000"/>
                <w:sz w:val="16"/>
                <w:szCs w:val="16"/>
              </w:rPr>
            </w:pPr>
            <w:r>
              <w:rPr>
                <w:color w:val="000000"/>
                <w:sz w:val="16"/>
                <w:szCs w:val="16"/>
              </w:rPr>
              <w:t>8</w:t>
            </w:r>
          </w:p>
        </w:tc>
        <w:tc>
          <w:tcPr>
            <w:tcW w:w="990" w:type="dxa"/>
            <w:tcBorders>
              <w:top w:val="nil"/>
              <w:left w:val="nil"/>
              <w:bottom w:val="single" w:sz="4" w:space="0" w:color="auto"/>
              <w:right w:val="single" w:sz="4" w:space="0" w:color="auto"/>
            </w:tcBorders>
            <w:shd w:val="clear" w:color="000000" w:fill="FFFFFF"/>
            <w:noWrap/>
            <w:vAlign w:val="center"/>
            <w:hideMark/>
          </w:tcPr>
          <w:p w14:paraId="6476D430" w14:textId="77777777" w:rsidR="000D2794" w:rsidRDefault="000D2794">
            <w:pPr>
              <w:jc w:val="center"/>
              <w:rPr>
                <w:color w:val="000000"/>
                <w:sz w:val="16"/>
                <w:szCs w:val="16"/>
              </w:rPr>
            </w:pPr>
            <w:r>
              <w:rPr>
                <w:color w:val="000000"/>
                <w:sz w:val="16"/>
                <w:szCs w:val="16"/>
              </w:rPr>
              <w:t>0%</w:t>
            </w:r>
          </w:p>
        </w:tc>
        <w:tc>
          <w:tcPr>
            <w:tcW w:w="810" w:type="dxa"/>
            <w:tcBorders>
              <w:top w:val="nil"/>
              <w:left w:val="nil"/>
              <w:bottom w:val="single" w:sz="4" w:space="0" w:color="auto"/>
              <w:right w:val="single" w:sz="4" w:space="0" w:color="auto"/>
            </w:tcBorders>
            <w:shd w:val="clear" w:color="000000" w:fill="FFFFFF"/>
            <w:noWrap/>
            <w:vAlign w:val="center"/>
            <w:hideMark/>
          </w:tcPr>
          <w:p w14:paraId="3DB71472" w14:textId="77777777" w:rsidR="000D2794" w:rsidRDefault="000D2794">
            <w:pPr>
              <w:jc w:val="center"/>
              <w:rPr>
                <w:color w:val="000000"/>
                <w:sz w:val="16"/>
                <w:szCs w:val="16"/>
              </w:rPr>
            </w:pPr>
            <w:r>
              <w:rPr>
                <w:color w:val="000000"/>
                <w:sz w:val="16"/>
                <w:szCs w:val="16"/>
              </w:rPr>
              <w:t>5.49</w:t>
            </w:r>
          </w:p>
        </w:tc>
        <w:tc>
          <w:tcPr>
            <w:tcW w:w="1080" w:type="dxa"/>
            <w:tcBorders>
              <w:top w:val="nil"/>
              <w:left w:val="nil"/>
              <w:bottom w:val="single" w:sz="4" w:space="0" w:color="auto"/>
              <w:right w:val="single" w:sz="4" w:space="0" w:color="auto"/>
            </w:tcBorders>
            <w:shd w:val="clear" w:color="000000" w:fill="FFFFFF"/>
            <w:noWrap/>
            <w:vAlign w:val="center"/>
            <w:hideMark/>
          </w:tcPr>
          <w:p w14:paraId="33983F8B" w14:textId="77777777" w:rsidR="000D2794" w:rsidRDefault="000D2794">
            <w:pPr>
              <w:jc w:val="center"/>
              <w:rPr>
                <w:color w:val="000000"/>
                <w:sz w:val="16"/>
                <w:szCs w:val="16"/>
              </w:rPr>
            </w:pPr>
            <w:r>
              <w:rPr>
                <w:color w:val="000000"/>
                <w:sz w:val="16"/>
                <w:szCs w:val="16"/>
              </w:rPr>
              <w:t>5.48</w:t>
            </w:r>
          </w:p>
        </w:tc>
        <w:tc>
          <w:tcPr>
            <w:tcW w:w="3015" w:type="dxa"/>
            <w:vMerge/>
            <w:tcBorders>
              <w:left w:val="nil"/>
              <w:right w:val="single" w:sz="4" w:space="0" w:color="auto"/>
            </w:tcBorders>
            <w:shd w:val="clear" w:color="auto" w:fill="auto"/>
            <w:vAlign w:val="center"/>
            <w:hideMark/>
          </w:tcPr>
          <w:p w14:paraId="72CA8113" w14:textId="2A58EFF0" w:rsidR="000D2794" w:rsidRDefault="000D2794" w:rsidP="00CD70F5">
            <w:pPr>
              <w:jc w:val="center"/>
              <w:rPr>
                <w:color w:val="000000"/>
                <w:sz w:val="16"/>
                <w:szCs w:val="16"/>
              </w:rPr>
            </w:pPr>
          </w:p>
        </w:tc>
      </w:tr>
      <w:tr w:rsidR="000D2794" w14:paraId="1C60567A" w14:textId="77777777" w:rsidTr="00CD70F5">
        <w:trPr>
          <w:trHeight w:val="1050"/>
        </w:trPr>
        <w:tc>
          <w:tcPr>
            <w:tcW w:w="875" w:type="dxa"/>
            <w:tcBorders>
              <w:top w:val="nil"/>
              <w:left w:val="single" w:sz="4" w:space="0" w:color="auto"/>
              <w:bottom w:val="single" w:sz="4" w:space="0" w:color="auto"/>
              <w:right w:val="single" w:sz="4" w:space="0" w:color="auto"/>
            </w:tcBorders>
            <w:shd w:val="clear" w:color="auto" w:fill="auto"/>
            <w:vAlign w:val="center"/>
            <w:hideMark/>
          </w:tcPr>
          <w:p w14:paraId="27A76533" w14:textId="77777777" w:rsidR="000D2794" w:rsidRDefault="000D2794">
            <w:pPr>
              <w:rPr>
                <w:color w:val="000000"/>
                <w:sz w:val="16"/>
                <w:szCs w:val="16"/>
              </w:rPr>
            </w:pPr>
            <w:r>
              <w:rPr>
                <w:color w:val="000000"/>
                <w:sz w:val="16"/>
                <w:szCs w:val="16"/>
              </w:rPr>
              <w:t>Ericsson</w:t>
            </w:r>
          </w:p>
        </w:tc>
        <w:tc>
          <w:tcPr>
            <w:tcW w:w="802" w:type="dxa"/>
            <w:tcBorders>
              <w:top w:val="nil"/>
              <w:left w:val="nil"/>
              <w:bottom w:val="single" w:sz="4" w:space="0" w:color="auto"/>
              <w:right w:val="single" w:sz="4" w:space="0" w:color="auto"/>
            </w:tcBorders>
            <w:shd w:val="clear" w:color="000000" w:fill="FFFFFF"/>
            <w:vAlign w:val="center"/>
            <w:hideMark/>
          </w:tcPr>
          <w:p w14:paraId="5BE22626" w14:textId="77777777" w:rsidR="000D2794" w:rsidRDefault="000D2794">
            <w:pPr>
              <w:rPr>
                <w:color w:val="000000"/>
                <w:sz w:val="16"/>
                <w:szCs w:val="16"/>
              </w:rPr>
            </w:pPr>
            <w:r>
              <w:rPr>
                <w:color w:val="000000"/>
                <w:sz w:val="16"/>
                <w:szCs w:val="16"/>
              </w:rPr>
              <w:t>160ms</w:t>
            </w:r>
          </w:p>
        </w:tc>
        <w:tc>
          <w:tcPr>
            <w:tcW w:w="785" w:type="dxa"/>
            <w:tcBorders>
              <w:top w:val="nil"/>
              <w:left w:val="nil"/>
              <w:bottom w:val="single" w:sz="4" w:space="0" w:color="auto"/>
              <w:right w:val="single" w:sz="4" w:space="0" w:color="auto"/>
            </w:tcBorders>
            <w:shd w:val="clear" w:color="auto" w:fill="auto"/>
            <w:vAlign w:val="center"/>
            <w:hideMark/>
          </w:tcPr>
          <w:p w14:paraId="0DDE6ABB" w14:textId="77777777" w:rsidR="000D2794" w:rsidRDefault="000D2794">
            <w:pPr>
              <w:rPr>
                <w:color w:val="000000"/>
                <w:sz w:val="16"/>
                <w:szCs w:val="16"/>
              </w:rPr>
            </w:pPr>
            <w:r>
              <w:rPr>
                <w:color w:val="000000"/>
                <w:sz w:val="16"/>
                <w:szCs w:val="16"/>
              </w:rPr>
              <w:t>Empty</w:t>
            </w:r>
          </w:p>
        </w:tc>
        <w:tc>
          <w:tcPr>
            <w:tcW w:w="818" w:type="dxa"/>
            <w:tcBorders>
              <w:top w:val="nil"/>
              <w:left w:val="nil"/>
              <w:bottom w:val="single" w:sz="4" w:space="0" w:color="auto"/>
              <w:right w:val="single" w:sz="4" w:space="0" w:color="auto"/>
            </w:tcBorders>
            <w:shd w:val="clear" w:color="auto" w:fill="auto"/>
            <w:vAlign w:val="center"/>
            <w:hideMark/>
          </w:tcPr>
          <w:p w14:paraId="28B14321" w14:textId="77777777" w:rsidR="000D2794" w:rsidRDefault="000D2794">
            <w:pPr>
              <w:rPr>
                <w:color w:val="000000"/>
                <w:sz w:val="16"/>
                <w:szCs w:val="16"/>
              </w:rPr>
            </w:pPr>
            <w:r>
              <w:rPr>
                <w:color w:val="000000"/>
                <w:sz w:val="16"/>
                <w:szCs w:val="16"/>
              </w:rPr>
              <w:t>FTP3</w:t>
            </w:r>
          </w:p>
        </w:tc>
        <w:tc>
          <w:tcPr>
            <w:tcW w:w="826" w:type="dxa"/>
            <w:tcBorders>
              <w:top w:val="nil"/>
              <w:left w:val="nil"/>
              <w:bottom w:val="single" w:sz="4" w:space="0" w:color="auto"/>
              <w:right w:val="single" w:sz="4" w:space="0" w:color="auto"/>
            </w:tcBorders>
            <w:shd w:val="clear" w:color="auto" w:fill="auto"/>
            <w:vAlign w:val="center"/>
            <w:hideMark/>
          </w:tcPr>
          <w:p w14:paraId="33690F7F" w14:textId="77777777" w:rsidR="000D2794" w:rsidRDefault="000D2794">
            <w:pPr>
              <w:rPr>
                <w:color w:val="000000"/>
                <w:sz w:val="16"/>
                <w:szCs w:val="16"/>
              </w:rPr>
            </w:pPr>
            <w:r>
              <w:rPr>
                <w:color w:val="000000"/>
                <w:sz w:val="16"/>
                <w:szCs w:val="16"/>
              </w:rPr>
              <w:t>(12, 1, 13)</w:t>
            </w:r>
          </w:p>
        </w:tc>
        <w:tc>
          <w:tcPr>
            <w:tcW w:w="839" w:type="dxa"/>
            <w:tcBorders>
              <w:top w:val="nil"/>
              <w:left w:val="nil"/>
              <w:bottom w:val="single" w:sz="4" w:space="0" w:color="auto"/>
              <w:right w:val="single" w:sz="4" w:space="0" w:color="auto"/>
            </w:tcBorders>
            <w:shd w:val="clear" w:color="auto" w:fill="auto"/>
            <w:hideMark/>
          </w:tcPr>
          <w:p w14:paraId="6084520D" w14:textId="77777777" w:rsidR="000D2794" w:rsidRDefault="000D2794">
            <w:pPr>
              <w:rPr>
                <w:color w:val="000000"/>
                <w:sz w:val="16"/>
                <w:szCs w:val="16"/>
              </w:rPr>
            </w:pPr>
            <w:r>
              <w:rPr>
                <w:color w:val="000000"/>
                <w:sz w:val="16"/>
                <w:szCs w:val="16"/>
              </w:rPr>
              <w:t>(4, 0)</w:t>
            </w:r>
          </w:p>
        </w:tc>
        <w:tc>
          <w:tcPr>
            <w:tcW w:w="900" w:type="dxa"/>
            <w:tcBorders>
              <w:top w:val="nil"/>
              <w:left w:val="nil"/>
              <w:bottom w:val="single" w:sz="4" w:space="0" w:color="auto"/>
              <w:right w:val="single" w:sz="4" w:space="0" w:color="auto"/>
            </w:tcBorders>
            <w:shd w:val="clear" w:color="auto" w:fill="auto"/>
            <w:hideMark/>
          </w:tcPr>
          <w:p w14:paraId="4F4CB189" w14:textId="77777777" w:rsidR="000D2794" w:rsidRDefault="000D2794">
            <w:pPr>
              <w:rPr>
                <w:color w:val="000000"/>
                <w:sz w:val="16"/>
                <w:szCs w:val="16"/>
              </w:rPr>
            </w:pPr>
            <w:r>
              <w:rPr>
                <w:color w:val="000000"/>
                <w:sz w:val="16"/>
                <w:szCs w:val="16"/>
              </w:rPr>
              <w:t>C2</w:t>
            </w:r>
          </w:p>
        </w:tc>
        <w:tc>
          <w:tcPr>
            <w:tcW w:w="990" w:type="dxa"/>
            <w:tcBorders>
              <w:top w:val="nil"/>
              <w:left w:val="nil"/>
              <w:bottom w:val="single" w:sz="4" w:space="0" w:color="auto"/>
              <w:right w:val="single" w:sz="4" w:space="0" w:color="auto"/>
            </w:tcBorders>
            <w:shd w:val="clear" w:color="auto" w:fill="auto"/>
            <w:hideMark/>
          </w:tcPr>
          <w:p w14:paraId="4C43B56D" w14:textId="77777777" w:rsidR="000D2794" w:rsidRDefault="000D2794">
            <w:pPr>
              <w:rPr>
                <w:color w:val="000000"/>
                <w:sz w:val="16"/>
                <w:szCs w:val="16"/>
              </w:rPr>
            </w:pPr>
            <w:r>
              <w:rPr>
                <w:color w:val="000000"/>
                <w:sz w:val="16"/>
                <w:szCs w:val="16"/>
              </w:rPr>
              <w:t>B2</w:t>
            </w:r>
          </w:p>
        </w:tc>
        <w:tc>
          <w:tcPr>
            <w:tcW w:w="810" w:type="dxa"/>
            <w:tcBorders>
              <w:top w:val="nil"/>
              <w:left w:val="nil"/>
              <w:bottom w:val="single" w:sz="4" w:space="0" w:color="auto"/>
              <w:right w:val="single" w:sz="4" w:space="0" w:color="auto"/>
            </w:tcBorders>
            <w:shd w:val="clear" w:color="auto" w:fill="auto"/>
            <w:hideMark/>
          </w:tcPr>
          <w:p w14:paraId="5C93FC93" w14:textId="77777777" w:rsidR="000D2794" w:rsidRDefault="000D2794">
            <w:pPr>
              <w:rPr>
                <w:color w:val="000000"/>
                <w:sz w:val="16"/>
                <w:szCs w:val="16"/>
              </w:rPr>
            </w:pPr>
            <w:r>
              <w:rPr>
                <w:color w:val="000000"/>
                <w:sz w:val="16"/>
                <w:szCs w:val="16"/>
              </w:rPr>
              <w:t>Cat 1 BS</w:t>
            </w:r>
          </w:p>
        </w:tc>
        <w:tc>
          <w:tcPr>
            <w:tcW w:w="540" w:type="dxa"/>
            <w:tcBorders>
              <w:top w:val="nil"/>
              <w:left w:val="nil"/>
              <w:bottom w:val="single" w:sz="4" w:space="0" w:color="auto"/>
              <w:right w:val="single" w:sz="4" w:space="0" w:color="auto"/>
            </w:tcBorders>
            <w:shd w:val="clear" w:color="auto" w:fill="auto"/>
            <w:vAlign w:val="center"/>
            <w:hideMark/>
          </w:tcPr>
          <w:p w14:paraId="344D7569" w14:textId="77777777" w:rsidR="000D2794" w:rsidRDefault="000D2794">
            <w:pPr>
              <w:jc w:val="center"/>
              <w:rPr>
                <w:color w:val="000000"/>
                <w:sz w:val="16"/>
                <w:szCs w:val="16"/>
              </w:rPr>
            </w:pPr>
            <w:r>
              <w:rPr>
                <w:color w:val="000000"/>
                <w:sz w:val="16"/>
                <w:szCs w:val="16"/>
              </w:rPr>
              <w:t>8</w:t>
            </w:r>
          </w:p>
        </w:tc>
        <w:tc>
          <w:tcPr>
            <w:tcW w:w="990" w:type="dxa"/>
            <w:tcBorders>
              <w:top w:val="nil"/>
              <w:left w:val="nil"/>
              <w:bottom w:val="single" w:sz="4" w:space="0" w:color="auto"/>
              <w:right w:val="single" w:sz="4" w:space="0" w:color="auto"/>
            </w:tcBorders>
            <w:shd w:val="clear" w:color="000000" w:fill="FFFFFF"/>
            <w:noWrap/>
            <w:vAlign w:val="center"/>
            <w:hideMark/>
          </w:tcPr>
          <w:p w14:paraId="1A9E071A" w14:textId="77777777" w:rsidR="000D2794" w:rsidRDefault="000D2794">
            <w:pPr>
              <w:jc w:val="center"/>
              <w:rPr>
                <w:color w:val="000000"/>
                <w:sz w:val="16"/>
                <w:szCs w:val="16"/>
              </w:rPr>
            </w:pPr>
            <w:r>
              <w:rPr>
                <w:color w:val="000000"/>
                <w:sz w:val="16"/>
                <w:szCs w:val="16"/>
              </w:rPr>
              <w:t>0%</w:t>
            </w:r>
          </w:p>
        </w:tc>
        <w:tc>
          <w:tcPr>
            <w:tcW w:w="810" w:type="dxa"/>
            <w:tcBorders>
              <w:top w:val="nil"/>
              <w:left w:val="nil"/>
              <w:bottom w:val="single" w:sz="4" w:space="0" w:color="auto"/>
              <w:right w:val="single" w:sz="4" w:space="0" w:color="auto"/>
            </w:tcBorders>
            <w:shd w:val="clear" w:color="000000" w:fill="FFFFFF"/>
            <w:noWrap/>
            <w:vAlign w:val="center"/>
            <w:hideMark/>
          </w:tcPr>
          <w:p w14:paraId="3B832EA3" w14:textId="77777777" w:rsidR="000D2794" w:rsidRDefault="000D2794">
            <w:pPr>
              <w:jc w:val="center"/>
              <w:rPr>
                <w:color w:val="000000"/>
                <w:sz w:val="16"/>
                <w:szCs w:val="16"/>
              </w:rPr>
            </w:pPr>
            <w:r>
              <w:rPr>
                <w:color w:val="000000"/>
                <w:sz w:val="16"/>
                <w:szCs w:val="16"/>
              </w:rPr>
              <w:t>5.49</w:t>
            </w:r>
          </w:p>
        </w:tc>
        <w:tc>
          <w:tcPr>
            <w:tcW w:w="1080" w:type="dxa"/>
            <w:tcBorders>
              <w:top w:val="nil"/>
              <w:left w:val="nil"/>
              <w:bottom w:val="single" w:sz="4" w:space="0" w:color="auto"/>
              <w:right w:val="single" w:sz="4" w:space="0" w:color="auto"/>
            </w:tcBorders>
            <w:shd w:val="clear" w:color="000000" w:fill="FFFFFF"/>
            <w:noWrap/>
            <w:vAlign w:val="center"/>
            <w:hideMark/>
          </w:tcPr>
          <w:p w14:paraId="32A0F3EA" w14:textId="77777777" w:rsidR="000D2794" w:rsidRDefault="000D2794">
            <w:pPr>
              <w:jc w:val="center"/>
              <w:rPr>
                <w:color w:val="000000"/>
                <w:sz w:val="16"/>
                <w:szCs w:val="16"/>
              </w:rPr>
            </w:pPr>
            <w:r>
              <w:rPr>
                <w:color w:val="000000"/>
                <w:sz w:val="16"/>
                <w:szCs w:val="16"/>
              </w:rPr>
              <w:t>5.50</w:t>
            </w:r>
          </w:p>
        </w:tc>
        <w:tc>
          <w:tcPr>
            <w:tcW w:w="3015" w:type="dxa"/>
            <w:vMerge/>
            <w:tcBorders>
              <w:left w:val="nil"/>
              <w:bottom w:val="single" w:sz="4" w:space="0" w:color="auto"/>
              <w:right w:val="single" w:sz="4" w:space="0" w:color="auto"/>
            </w:tcBorders>
            <w:shd w:val="clear" w:color="auto" w:fill="auto"/>
            <w:vAlign w:val="center"/>
            <w:hideMark/>
          </w:tcPr>
          <w:p w14:paraId="63BA2389" w14:textId="4997FA51" w:rsidR="000D2794" w:rsidRDefault="000D2794">
            <w:pPr>
              <w:jc w:val="center"/>
              <w:rPr>
                <w:color w:val="000000"/>
                <w:sz w:val="16"/>
                <w:szCs w:val="16"/>
              </w:rPr>
            </w:pPr>
          </w:p>
        </w:tc>
      </w:tr>
    </w:tbl>
    <w:p w14:paraId="43FD6111" w14:textId="77777777" w:rsidR="00440E87" w:rsidRDefault="00440E87" w:rsidP="0059677F"/>
    <w:p w14:paraId="10A8C52A" w14:textId="77777777" w:rsidR="00907B4D" w:rsidRDefault="00907B4D"/>
    <w:sectPr w:rsidR="00907B4D" w:rsidSect="00FE61C2">
      <w:footnotePr>
        <w:numRestart w:val="eachSect"/>
      </w:footnotePr>
      <w:pgSz w:w="16840" w:h="11907" w:orient="landscape" w:code="9"/>
      <w:pgMar w:top="1138" w:right="1411"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Author" w:initials="A">
    <w:p w14:paraId="3B4C368A" w14:textId="77777777" w:rsidR="00B911E8" w:rsidRDefault="00B911E8" w:rsidP="00B911E8">
      <w:pPr>
        <w:pStyle w:val="CommentText"/>
      </w:pPr>
      <w:r>
        <w:rPr>
          <w:rStyle w:val="CommentReference"/>
        </w:rPr>
        <w:annotationRef/>
      </w:r>
      <w:r>
        <w:t>Will modify details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4C368A"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4C368A" w16cid:durableId="29E387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79A0E" w14:textId="77777777" w:rsidR="00162B47" w:rsidRDefault="00162B47">
      <w:r>
        <w:separator/>
      </w:r>
    </w:p>
  </w:endnote>
  <w:endnote w:type="continuationSeparator" w:id="0">
    <w:p w14:paraId="4F90FBB1" w14:textId="77777777" w:rsidR="00162B47" w:rsidRDefault="00162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E458F" w14:textId="77777777" w:rsidR="001C6B41" w:rsidRDefault="001C6B4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C4B16" w14:textId="77777777" w:rsidR="00162B47" w:rsidRDefault="00162B47">
      <w:r>
        <w:separator/>
      </w:r>
    </w:p>
  </w:footnote>
  <w:footnote w:type="continuationSeparator" w:id="0">
    <w:p w14:paraId="6C94E0CF" w14:textId="77777777" w:rsidR="00162B47" w:rsidRDefault="00162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10969" w14:textId="77777777" w:rsidR="001C6B41" w:rsidRDefault="001C6B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C29244F"/>
    <w:multiLevelType w:val="hybridMultilevel"/>
    <w:tmpl w:val="553A0940"/>
    <w:lvl w:ilvl="0" w:tplc="5030ABC4">
      <w:start w:val="1"/>
      <w:numFmt w:val="bullet"/>
      <w:lvlText w:val=""/>
      <w:lvlJc w:val="left"/>
      <w:pPr>
        <w:tabs>
          <w:tab w:val="num" w:pos="720"/>
        </w:tabs>
        <w:ind w:left="720" w:hanging="360"/>
      </w:pPr>
      <w:rPr>
        <w:rFonts w:ascii="Symbol" w:hAnsi="Symbol" w:hint="default"/>
      </w:rPr>
    </w:lvl>
    <w:lvl w:ilvl="1" w:tplc="F2706A28">
      <w:numFmt w:val="bullet"/>
      <w:lvlText w:val="o"/>
      <w:lvlJc w:val="left"/>
      <w:pPr>
        <w:tabs>
          <w:tab w:val="num" w:pos="1440"/>
        </w:tabs>
        <w:ind w:left="1440" w:hanging="360"/>
      </w:pPr>
      <w:rPr>
        <w:rFonts w:ascii="Courier New" w:hAnsi="Courier New" w:hint="default"/>
      </w:rPr>
    </w:lvl>
    <w:lvl w:ilvl="2" w:tplc="1586FCD0" w:tentative="1">
      <w:start w:val="1"/>
      <w:numFmt w:val="bullet"/>
      <w:lvlText w:val=""/>
      <w:lvlJc w:val="left"/>
      <w:pPr>
        <w:tabs>
          <w:tab w:val="num" w:pos="2160"/>
        </w:tabs>
        <w:ind w:left="2160" w:hanging="360"/>
      </w:pPr>
      <w:rPr>
        <w:rFonts w:ascii="Symbol" w:hAnsi="Symbol" w:hint="default"/>
      </w:rPr>
    </w:lvl>
    <w:lvl w:ilvl="3" w:tplc="50AC26BC" w:tentative="1">
      <w:start w:val="1"/>
      <w:numFmt w:val="bullet"/>
      <w:lvlText w:val=""/>
      <w:lvlJc w:val="left"/>
      <w:pPr>
        <w:tabs>
          <w:tab w:val="num" w:pos="2880"/>
        </w:tabs>
        <w:ind w:left="2880" w:hanging="360"/>
      </w:pPr>
      <w:rPr>
        <w:rFonts w:ascii="Symbol" w:hAnsi="Symbol" w:hint="default"/>
      </w:rPr>
    </w:lvl>
    <w:lvl w:ilvl="4" w:tplc="42866EE0" w:tentative="1">
      <w:start w:val="1"/>
      <w:numFmt w:val="bullet"/>
      <w:lvlText w:val=""/>
      <w:lvlJc w:val="left"/>
      <w:pPr>
        <w:tabs>
          <w:tab w:val="num" w:pos="3600"/>
        </w:tabs>
        <w:ind w:left="3600" w:hanging="360"/>
      </w:pPr>
      <w:rPr>
        <w:rFonts w:ascii="Symbol" w:hAnsi="Symbol" w:hint="default"/>
      </w:rPr>
    </w:lvl>
    <w:lvl w:ilvl="5" w:tplc="1BF86E70" w:tentative="1">
      <w:start w:val="1"/>
      <w:numFmt w:val="bullet"/>
      <w:lvlText w:val=""/>
      <w:lvlJc w:val="left"/>
      <w:pPr>
        <w:tabs>
          <w:tab w:val="num" w:pos="4320"/>
        </w:tabs>
        <w:ind w:left="4320" w:hanging="360"/>
      </w:pPr>
      <w:rPr>
        <w:rFonts w:ascii="Symbol" w:hAnsi="Symbol" w:hint="default"/>
      </w:rPr>
    </w:lvl>
    <w:lvl w:ilvl="6" w:tplc="39F85848" w:tentative="1">
      <w:start w:val="1"/>
      <w:numFmt w:val="bullet"/>
      <w:lvlText w:val=""/>
      <w:lvlJc w:val="left"/>
      <w:pPr>
        <w:tabs>
          <w:tab w:val="num" w:pos="5040"/>
        </w:tabs>
        <w:ind w:left="5040" w:hanging="360"/>
      </w:pPr>
      <w:rPr>
        <w:rFonts w:ascii="Symbol" w:hAnsi="Symbol" w:hint="default"/>
      </w:rPr>
    </w:lvl>
    <w:lvl w:ilvl="7" w:tplc="34E0DB9A" w:tentative="1">
      <w:start w:val="1"/>
      <w:numFmt w:val="bullet"/>
      <w:lvlText w:val=""/>
      <w:lvlJc w:val="left"/>
      <w:pPr>
        <w:tabs>
          <w:tab w:val="num" w:pos="5760"/>
        </w:tabs>
        <w:ind w:left="5760" w:hanging="360"/>
      </w:pPr>
      <w:rPr>
        <w:rFonts w:ascii="Symbol" w:hAnsi="Symbol" w:hint="default"/>
      </w:rPr>
    </w:lvl>
    <w:lvl w:ilvl="8" w:tplc="58343BD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110332C"/>
    <w:multiLevelType w:val="hybridMultilevel"/>
    <w:tmpl w:val="C3669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B61B7"/>
    <w:multiLevelType w:val="hybridMultilevel"/>
    <w:tmpl w:val="EE7EF2B4"/>
    <w:lvl w:ilvl="0" w:tplc="5F1652D8">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326D37"/>
    <w:multiLevelType w:val="hybridMultilevel"/>
    <w:tmpl w:val="707A9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513629"/>
    <w:multiLevelType w:val="hybridMultilevel"/>
    <w:tmpl w:val="095A3964"/>
    <w:lvl w:ilvl="0" w:tplc="2E306D28">
      <w:numFmt w:val="bullet"/>
      <w:lvlText w:val="-"/>
      <w:lvlJc w:val="left"/>
      <w:pPr>
        <w:ind w:left="1340" w:hanging="360"/>
      </w:pPr>
      <w:rPr>
        <w:rFonts w:ascii="Ericsson Hilda" w:eastAsia="SimSun" w:hAnsi="Ericsson Hilda" w:cs="Verdana"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11" w15:restartNumberingAfterBreak="0">
    <w:nsid w:val="6D0F203A"/>
    <w:multiLevelType w:val="hybridMultilevel"/>
    <w:tmpl w:val="956A787C"/>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15:restartNumberingAfterBreak="0">
    <w:nsid w:val="6E14374A"/>
    <w:multiLevelType w:val="hybridMultilevel"/>
    <w:tmpl w:val="A6D23FA6"/>
    <w:lvl w:ilvl="0" w:tplc="3678F79E">
      <w:start w:val="1"/>
      <w:numFmt w:val="bullet"/>
      <w:lvlText w:val=""/>
      <w:lvlJc w:val="left"/>
      <w:pPr>
        <w:tabs>
          <w:tab w:val="num" w:pos="720"/>
        </w:tabs>
        <w:ind w:left="720" w:hanging="360"/>
      </w:pPr>
      <w:rPr>
        <w:rFonts w:ascii="Symbol" w:hAnsi="Symbol" w:hint="default"/>
      </w:rPr>
    </w:lvl>
    <w:lvl w:ilvl="1" w:tplc="2B4C710E" w:tentative="1">
      <w:start w:val="1"/>
      <w:numFmt w:val="bullet"/>
      <w:lvlText w:val=""/>
      <w:lvlJc w:val="left"/>
      <w:pPr>
        <w:tabs>
          <w:tab w:val="num" w:pos="1440"/>
        </w:tabs>
        <w:ind w:left="1440" w:hanging="360"/>
      </w:pPr>
      <w:rPr>
        <w:rFonts w:ascii="Symbol" w:hAnsi="Symbol" w:hint="default"/>
      </w:rPr>
    </w:lvl>
    <w:lvl w:ilvl="2" w:tplc="9280CF78" w:tentative="1">
      <w:start w:val="1"/>
      <w:numFmt w:val="bullet"/>
      <w:lvlText w:val=""/>
      <w:lvlJc w:val="left"/>
      <w:pPr>
        <w:tabs>
          <w:tab w:val="num" w:pos="2160"/>
        </w:tabs>
        <w:ind w:left="2160" w:hanging="360"/>
      </w:pPr>
      <w:rPr>
        <w:rFonts w:ascii="Symbol" w:hAnsi="Symbol" w:hint="default"/>
      </w:rPr>
    </w:lvl>
    <w:lvl w:ilvl="3" w:tplc="E648079A" w:tentative="1">
      <w:start w:val="1"/>
      <w:numFmt w:val="bullet"/>
      <w:lvlText w:val=""/>
      <w:lvlJc w:val="left"/>
      <w:pPr>
        <w:tabs>
          <w:tab w:val="num" w:pos="2880"/>
        </w:tabs>
        <w:ind w:left="2880" w:hanging="360"/>
      </w:pPr>
      <w:rPr>
        <w:rFonts w:ascii="Symbol" w:hAnsi="Symbol" w:hint="default"/>
      </w:rPr>
    </w:lvl>
    <w:lvl w:ilvl="4" w:tplc="1BEC6B3C" w:tentative="1">
      <w:start w:val="1"/>
      <w:numFmt w:val="bullet"/>
      <w:lvlText w:val=""/>
      <w:lvlJc w:val="left"/>
      <w:pPr>
        <w:tabs>
          <w:tab w:val="num" w:pos="3600"/>
        </w:tabs>
        <w:ind w:left="3600" w:hanging="360"/>
      </w:pPr>
      <w:rPr>
        <w:rFonts w:ascii="Symbol" w:hAnsi="Symbol" w:hint="default"/>
      </w:rPr>
    </w:lvl>
    <w:lvl w:ilvl="5" w:tplc="5B58BB1E" w:tentative="1">
      <w:start w:val="1"/>
      <w:numFmt w:val="bullet"/>
      <w:lvlText w:val=""/>
      <w:lvlJc w:val="left"/>
      <w:pPr>
        <w:tabs>
          <w:tab w:val="num" w:pos="4320"/>
        </w:tabs>
        <w:ind w:left="4320" w:hanging="360"/>
      </w:pPr>
      <w:rPr>
        <w:rFonts w:ascii="Symbol" w:hAnsi="Symbol" w:hint="default"/>
      </w:rPr>
    </w:lvl>
    <w:lvl w:ilvl="6" w:tplc="0E10B7E2" w:tentative="1">
      <w:start w:val="1"/>
      <w:numFmt w:val="bullet"/>
      <w:lvlText w:val=""/>
      <w:lvlJc w:val="left"/>
      <w:pPr>
        <w:tabs>
          <w:tab w:val="num" w:pos="5040"/>
        </w:tabs>
        <w:ind w:left="5040" w:hanging="360"/>
      </w:pPr>
      <w:rPr>
        <w:rFonts w:ascii="Symbol" w:hAnsi="Symbol" w:hint="default"/>
      </w:rPr>
    </w:lvl>
    <w:lvl w:ilvl="7" w:tplc="0B2E697A" w:tentative="1">
      <w:start w:val="1"/>
      <w:numFmt w:val="bullet"/>
      <w:lvlText w:val=""/>
      <w:lvlJc w:val="left"/>
      <w:pPr>
        <w:tabs>
          <w:tab w:val="num" w:pos="5760"/>
        </w:tabs>
        <w:ind w:left="5760" w:hanging="360"/>
      </w:pPr>
      <w:rPr>
        <w:rFonts w:ascii="Symbol" w:hAnsi="Symbol" w:hint="default"/>
      </w:rPr>
    </w:lvl>
    <w:lvl w:ilvl="8" w:tplc="F036F38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6176463">
    <w:abstractNumId w:val="6"/>
  </w:num>
  <w:num w:numId="2" w16cid:durableId="966157948">
    <w:abstractNumId w:val="9"/>
  </w:num>
  <w:num w:numId="3" w16cid:durableId="20242375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18257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9536631">
    <w:abstractNumId w:val="11"/>
  </w:num>
  <w:num w:numId="6" w16cid:durableId="233668230">
    <w:abstractNumId w:val="10"/>
  </w:num>
  <w:num w:numId="7" w16cid:durableId="737167631">
    <w:abstractNumId w:val="4"/>
  </w:num>
  <w:num w:numId="8" w16cid:durableId="2023317132">
    <w:abstractNumId w:val="3"/>
  </w:num>
  <w:num w:numId="9" w16cid:durableId="1765957470">
    <w:abstractNumId w:val="13"/>
  </w:num>
  <w:num w:numId="10" w16cid:durableId="1753090430">
    <w:abstractNumId w:val="8"/>
  </w:num>
  <w:num w:numId="11" w16cid:durableId="1666787812">
    <w:abstractNumId w:val="12"/>
  </w:num>
  <w:num w:numId="12" w16cid:durableId="128594320">
    <w:abstractNumId w:val="4"/>
    <w:lvlOverride w:ilvl="0">
      <w:startOverride w:val="2"/>
    </w:lvlOverride>
    <w:lvlOverride w:ilvl="1">
      <w:startOverride w:val="3"/>
    </w:lvlOverride>
  </w:num>
  <w:num w:numId="13" w16cid:durableId="1726833757">
    <w:abstractNumId w:val="1"/>
  </w:num>
  <w:num w:numId="14" w16cid:durableId="723287023">
    <w:abstractNumId w:val="0"/>
  </w:num>
  <w:num w:numId="15" w16cid:durableId="610472521">
    <w:abstractNumId w:val="6"/>
  </w:num>
  <w:num w:numId="16" w16cid:durableId="1394809897">
    <w:abstractNumId w:val="6"/>
  </w:num>
  <w:num w:numId="17" w16cid:durableId="907376370">
    <w:abstractNumId w:val="5"/>
  </w:num>
  <w:num w:numId="18" w16cid:durableId="1956474093">
    <w:abstractNumId w:val="6"/>
  </w:num>
  <w:num w:numId="19" w16cid:durableId="625887760">
    <w:abstractNumId w:val="6"/>
  </w:num>
  <w:num w:numId="20" w16cid:durableId="1799302914">
    <w:abstractNumId w:val="9"/>
  </w:num>
  <w:num w:numId="21" w16cid:durableId="85350737">
    <w:abstractNumId w:val="9"/>
  </w:num>
  <w:num w:numId="22" w16cid:durableId="1508010384">
    <w:abstractNumId w:val="9"/>
  </w:num>
  <w:num w:numId="23" w16cid:durableId="494762305">
    <w:abstractNumId w:val="9"/>
  </w:num>
  <w:num w:numId="24" w16cid:durableId="705638413">
    <w:abstractNumId w:val="2"/>
  </w:num>
  <w:num w:numId="25" w16cid:durableId="1937782815">
    <w:abstractNumId w:val="7"/>
  </w:num>
  <w:num w:numId="26" w16cid:durableId="3681835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removePersonalInformation/>
  <w:removeDateAndTime/>
  <w:doNotDisplayPageBoundaries/>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77F"/>
    <w:rsid w:val="00013A04"/>
    <w:rsid w:val="000179FC"/>
    <w:rsid w:val="0004696D"/>
    <w:rsid w:val="00055FAC"/>
    <w:rsid w:val="00083718"/>
    <w:rsid w:val="000D2794"/>
    <w:rsid w:val="00162B47"/>
    <w:rsid w:val="00170133"/>
    <w:rsid w:val="001B6ECF"/>
    <w:rsid w:val="001C6B41"/>
    <w:rsid w:val="001D12CD"/>
    <w:rsid w:val="001D503B"/>
    <w:rsid w:val="001D7D24"/>
    <w:rsid w:val="001F1083"/>
    <w:rsid w:val="002131A9"/>
    <w:rsid w:val="00233A21"/>
    <w:rsid w:val="0024134D"/>
    <w:rsid w:val="002573C8"/>
    <w:rsid w:val="002631D1"/>
    <w:rsid w:val="002A63E4"/>
    <w:rsid w:val="002D4D48"/>
    <w:rsid w:val="00312D3C"/>
    <w:rsid w:val="00320C9D"/>
    <w:rsid w:val="00332245"/>
    <w:rsid w:val="003553A6"/>
    <w:rsid w:val="00375DB3"/>
    <w:rsid w:val="003900A1"/>
    <w:rsid w:val="003E048B"/>
    <w:rsid w:val="003E54CC"/>
    <w:rsid w:val="00405382"/>
    <w:rsid w:val="00440E87"/>
    <w:rsid w:val="00451AF6"/>
    <w:rsid w:val="00466AD4"/>
    <w:rsid w:val="004913D9"/>
    <w:rsid w:val="004C0649"/>
    <w:rsid w:val="004D3F72"/>
    <w:rsid w:val="004F047E"/>
    <w:rsid w:val="00535F42"/>
    <w:rsid w:val="005746DA"/>
    <w:rsid w:val="00577BC2"/>
    <w:rsid w:val="0059677F"/>
    <w:rsid w:val="00600A28"/>
    <w:rsid w:val="00622A24"/>
    <w:rsid w:val="00622FD0"/>
    <w:rsid w:val="006566BC"/>
    <w:rsid w:val="00666C4D"/>
    <w:rsid w:val="006D6828"/>
    <w:rsid w:val="007116A5"/>
    <w:rsid w:val="00755AA4"/>
    <w:rsid w:val="007672D2"/>
    <w:rsid w:val="007B6873"/>
    <w:rsid w:val="007C12DC"/>
    <w:rsid w:val="007F4A00"/>
    <w:rsid w:val="008B75DE"/>
    <w:rsid w:val="00905141"/>
    <w:rsid w:val="00907B4D"/>
    <w:rsid w:val="00937AB3"/>
    <w:rsid w:val="009D73D8"/>
    <w:rsid w:val="00A106CD"/>
    <w:rsid w:val="00A6063F"/>
    <w:rsid w:val="00A73279"/>
    <w:rsid w:val="00AE4559"/>
    <w:rsid w:val="00AF34CA"/>
    <w:rsid w:val="00AF6026"/>
    <w:rsid w:val="00B138AF"/>
    <w:rsid w:val="00B67151"/>
    <w:rsid w:val="00B911E8"/>
    <w:rsid w:val="00B9251F"/>
    <w:rsid w:val="00B939BE"/>
    <w:rsid w:val="00BA12B0"/>
    <w:rsid w:val="00BB12C2"/>
    <w:rsid w:val="00C864C0"/>
    <w:rsid w:val="00D00F92"/>
    <w:rsid w:val="00D13667"/>
    <w:rsid w:val="00D40993"/>
    <w:rsid w:val="00D51999"/>
    <w:rsid w:val="00DA3384"/>
    <w:rsid w:val="00DB1A75"/>
    <w:rsid w:val="00DD7B44"/>
    <w:rsid w:val="00DE0E26"/>
    <w:rsid w:val="00DF6A0B"/>
    <w:rsid w:val="00E12397"/>
    <w:rsid w:val="00E15EFC"/>
    <w:rsid w:val="00E54D9D"/>
    <w:rsid w:val="00E802FC"/>
    <w:rsid w:val="00E939D0"/>
    <w:rsid w:val="00EC1CE4"/>
    <w:rsid w:val="00ED42D4"/>
    <w:rsid w:val="00F34BED"/>
    <w:rsid w:val="00F717DA"/>
    <w:rsid w:val="00F82DF9"/>
    <w:rsid w:val="00F97C3F"/>
    <w:rsid w:val="00FB2CFC"/>
    <w:rsid w:val="00FE61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3FB2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E87"/>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9677F"/>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59677F"/>
    <w:pPr>
      <w:keepNext/>
      <w:keepLines/>
      <w:numPr>
        <w:ilvl w:val="1"/>
        <w:numId w:val="7"/>
      </w:numPr>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9677F"/>
    <w:pPr>
      <w:keepNext/>
      <w:keepLines/>
      <w:numPr>
        <w:ilvl w:val="2"/>
        <w:numId w:val="7"/>
      </w:numPr>
      <w:spacing w:before="40" w:line="259" w:lineRule="auto"/>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677F"/>
    <w:pPr>
      <w:keepNext/>
      <w:keepLines/>
      <w:numPr>
        <w:ilvl w:val="3"/>
        <w:numId w:val="7"/>
      </w:numPr>
      <w:spacing w:before="40" w:line="259" w:lineRule="auto"/>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link w:val="Heading5Char"/>
    <w:uiPriority w:val="9"/>
    <w:semiHidden/>
    <w:unhideWhenUsed/>
    <w:qFormat/>
    <w:rsid w:val="0059677F"/>
    <w:pPr>
      <w:keepNext/>
      <w:keepLines/>
      <w:numPr>
        <w:ilvl w:val="4"/>
        <w:numId w:val="7"/>
      </w:numPr>
      <w:spacing w:before="40" w:line="259" w:lineRule="auto"/>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uiPriority w:val="9"/>
    <w:semiHidden/>
    <w:unhideWhenUsed/>
    <w:qFormat/>
    <w:rsid w:val="0059677F"/>
    <w:pPr>
      <w:keepNext/>
      <w:keepLines/>
      <w:numPr>
        <w:ilvl w:val="5"/>
        <w:numId w:val="7"/>
      </w:numPr>
      <w:spacing w:before="40" w:line="259" w:lineRule="auto"/>
      <w:ind w:left="4320" w:hanging="360"/>
      <w:outlineLvl w:val="5"/>
    </w:pPr>
    <w:rPr>
      <w:rFonts w:asciiTheme="majorHAnsi" w:eastAsiaTheme="majorEastAsia" w:hAnsiTheme="majorHAnsi" w:cstheme="majorBidi"/>
      <w:color w:val="1F3763" w:themeColor="accent1" w:themeShade="7F"/>
      <w:sz w:val="22"/>
      <w:szCs w:val="22"/>
    </w:rPr>
  </w:style>
  <w:style w:type="paragraph" w:styleId="Heading7">
    <w:name w:val="heading 7"/>
    <w:basedOn w:val="Normal"/>
    <w:next w:val="Normal"/>
    <w:link w:val="Heading7Char"/>
    <w:uiPriority w:val="9"/>
    <w:semiHidden/>
    <w:unhideWhenUsed/>
    <w:qFormat/>
    <w:rsid w:val="0059677F"/>
    <w:pPr>
      <w:keepNext/>
      <w:keepLines/>
      <w:numPr>
        <w:ilvl w:val="6"/>
        <w:numId w:val="7"/>
      </w:numPr>
      <w:spacing w:before="40" w:line="259" w:lineRule="auto"/>
      <w:ind w:left="5040" w:hanging="360"/>
      <w:outlineLvl w:val="6"/>
    </w:pPr>
    <w:rPr>
      <w:rFonts w:asciiTheme="majorHAnsi" w:eastAsiaTheme="majorEastAsia" w:hAnsiTheme="majorHAnsi" w:cstheme="majorBidi"/>
      <w:i/>
      <w:iCs/>
      <w:color w:val="1F3763" w:themeColor="accent1" w:themeShade="7F"/>
      <w:sz w:val="22"/>
      <w:szCs w:val="22"/>
    </w:rPr>
  </w:style>
  <w:style w:type="paragraph" w:styleId="Heading8">
    <w:name w:val="heading 8"/>
    <w:basedOn w:val="Normal"/>
    <w:next w:val="Normal"/>
    <w:link w:val="Heading8Char"/>
    <w:uiPriority w:val="9"/>
    <w:semiHidden/>
    <w:unhideWhenUsed/>
    <w:qFormat/>
    <w:rsid w:val="0059677F"/>
    <w:pPr>
      <w:keepNext/>
      <w:keepLines/>
      <w:numPr>
        <w:ilvl w:val="7"/>
        <w:numId w:val="7"/>
      </w:numPr>
      <w:spacing w:before="40" w:line="259" w:lineRule="auto"/>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677F"/>
    <w:pPr>
      <w:keepNext/>
      <w:keepLines/>
      <w:numPr>
        <w:ilvl w:val="8"/>
        <w:numId w:val="7"/>
      </w:numPr>
      <w:spacing w:before="40" w:line="259" w:lineRule="auto"/>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677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59677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9677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9677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9677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9677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9677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9677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9677F"/>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uiPriority w:val="99"/>
    <w:unhideWhenUsed/>
    <w:rsid w:val="0059677F"/>
    <w:pPr>
      <w:tabs>
        <w:tab w:val="center" w:pos="4419"/>
        <w:tab w:val="right" w:pos="8838"/>
      </w:tabs>
    </w:pPr>
    <w:rPr>
      <w:rFonts w:asciiTheme="minorHAnsi" w:eastAsiaTheme="minorEastAsia" w:hAnsiTheme="minorHAnsi" w:cstheme="minorBidi"/>
      <w:sz w:val="22"/>
      <w:szCs w:val="22"/>
      <w:lang w:eastAsia="zh-CN"/>
    </w:rPr>
  </w:style>
  <w:style w:type="character" w:customStyle="1" w:styleId="FooterChar">
    <w:name w:val="Footer Char"/>
    <w:basedOn w:val="DefaultParagraphFont"/>
    <w:link w:val="Footer"/>
    <w:uiPriority w:val="99"/>
    <w:rsid w:val="0059677F"/>
    <w:rPr>
      <w:rFonts w:eastAsiaTheme="minorEastAsia"/>
      <w:lang w:eastAsia="zh-CN"/>
    </w:rPr>
  </w:style>
  <w:style w:type="character" w:styleId="PageNumber">
    <w:name w:val="page number"/>
    <w:basedOn w:val="DefaultParagraphFont"/>
    <w:rsid w:val="0059677F"/>
  </w:style>
  <w:style w:type="paragraph" w:customStyle="1" w:styleId="Proposal">
    <w:name w:val="Proposal"/>
    <w:basedOn w:val="BodyText"/>
    <w:qFormat/>
    <w:rsid w:val="0059677F"/>
    <w:pPr>
      <w:numPr>
        <w:numId w:val="1"/>
      </w:numPr>
      <w:tabs>
        <w:tab w:val="left" w:pos="1701"/>
      </w:tabs>
      <w:jc w:val="both"/>
    </w:pPr>
    <w:rPr>
      <w:rFonts w:ascii="Arial" w:hAnsi="Arial"/>
      <w:b/>
      <w:bCs/>
      <w:lang w:eastAsia="en-US"/>
    </w:rPr>
  </w:style>
  <w:style w:type="paragraph" w:customStyle="1" w:styleId="Observation">
    <w:name w:val="Observation"/>
    <w:basedOn w:val="Proposal"/>
    <w:link w:val="ObservationChar"/>
    <w:uiPriority w:val="99"/>
    <w:qFormat/>
    <w:rsid w:val="0059677F"/>
    <w:pPr>
      <w:numPr>
        <w:numId w:val="2"/>
      </w:numPr>
    </w:pPr>
    <w:rPr>
      <w:lang w:eastAsia="ja-JP"/>
    </w:rPr>
  </w:style>
  <w:style w:type="paragraph" w:styleId="BodyText">
    <w:name w:val="Body Text"/>
    <w:basedOn w:val="Normal"/>
    <w:link w:val="BodyTextChar"/>
    <w:uiPriority w:val="99"/>
    <w:unhideWhenUsed/>
    <w:rsid w:val="0059677F"/>
    <w:pPr>
      <w:spacing w:after="120" w:line="259" w:lineRule="auto"/>
    </w:pPr>
    <w:rPr>
      <w:rFonts w:asciiTheme="minorHAnsi" w:eastAsiaTheme="minorEastAsia" w:hAnsiTheme="minorHAnsi" w:cstheme="minorBidi"/>
      <w:sz w:val="22"/>
      <w:szCs w:val="22"/>
      <w:lang w:eastAsia="zh-CN"/>
    </w:rPr>
  </w:style>
  <w:style w:type="character" w:customStyle="1" w:styleId="BodyTextChar">
    <w:name w:val="Body Text Char"/>
    <w:basedOn w:val="DefaultParagraphFont"/>
    <w:link w:val="BodyText"/>
    <w:uiPriority w:val="99"/>
    <w:rsid w:val="0059677F"/>
    <w:rPr>
      <w:rFonts w:eastAsiaTheme="minorEastAsia"/>
      <w:lang w:eastAsia="zh-CN"/>
    </w:rPr>
  </w:style>
  <w:style w:type="paragraph" w:styleId="ListParagraph">
    <w:name w:val="List Paragraph"/>
    <w:basedOn w:val="Normal"/>
    <w:uiPriority w:val="34"/>
    <w:qFormat/>
    <w:rsid w:val="0059677F"/>
    <w:pPr>
      <w:spacing w:after="160" w:line="259" w:lineRule="auto"/>
      <w:ind w:left="720"/>
      <w:contextualSpacing/>
    </w:pPr>
    <w:rPr>
      <w:rFonts w:asciiTheme="minorHAnsi" w:eastAsiaTheme="minorEastAsia" w:hAnsiTheme="minorHAnsi" w:cstheme="minorBidi"/>
      <w:sz w:val="22"/>
      <w:szCs w:val="22"/>
      <w:lang w:eastAsia="zh-CN"/>
    </w:rPr>
  </w:style>
  <w:style w:type="character" w:styleId="Hyperlink">
    <w:name w:val="Hyperlink"/>
    <w:uiPriority w:val="99"/>
    <w:rsid w:val="0059677F"/>
    <w:rPr>
      <w:color w:val="0000FF"/>
      <w:u w:val="single"/>
    </w:rPr>
  </w:style>
  <w:style w:type="paragraph" w:styleId="TableofFigures">
    <w:name w:val="table of figures"/>
    <w:basedOn w:val="BodyText"/>
    <w:next w:val="Normal"/>
    <w:uiPriority w:val="99"/>
    <w:rsid w:val="0059677F"/>
    <w:pPr>
      <w:ind w:left="1701" w:hanging="1701"/>
    </w:pPr>
    <w:rPr>
      <w:rFonts w:ascii="Arial" w:eastAsiaTheme="minorHAnsi" w:hAnsi="Arial"/>
      <w:b/>
      <w:lang w:eastAsia="en-US"/>
    </w:rPr>
  </w:style>
  <w:style w:type="paragraph" w:customStyle="1" w:styleId="Reference">
    <w:name w:val="Reference"/>
    <w:basedOn w:val="BodyText"/>
    <w:rsid w:val="0059677F"/>
    <w:pPr>
      <w:numPr>
        <w:numId w:val="10"/>
      </w:numPr>
      <w:jc w:val="both"/>
    </w:pPr>
    <w:rPr>
      <w:rFonts w:ascii="Arial" w:eastAsiaTheme="minorHAnsi" w:hAnsi="Arial"/>
      <w:lang w:eastAsia="en-US"/>
    </w:rPr>
  </w:style>
  <w:style w:type="paragraph" w:styleId="Caption">
    <w:name w:val="caption"/>
    <w:basedOn w:val="Normal"/>
    <w:next w:val="Normal"/>
    <w:uiPriority w:val="35"/>
    <w:unhideWhenUsed/>
    <w:qFormat/>
    <w:rsid w:val="0059677F"/>
    <w:pPr>
      <w:spacing w:after="200"/>
    </w:pPr>
    <w:rPr>
      <w:rFonts w:asciiTheme="minorHAnsi" w:eastAsiaTheme="minorEastAsia" w:hAnsiTheme="minorHAnsi" w:cstheme="minorBidi"/>
      <w:i/>
      <w:iCs/>
      <w:color w:val="44546A" w:themeColor="text2"/>
      <w:sz w:val="18"/>
      <w:szCs w:val="18"/>
      <w:lang w:eastAsia="zh-CN"/>
    </w:rPr>
  </w:style>
  <w:style w:type="paragraph" w:styleId="Revision">
    <w:name w:val="Revision"/>
    <w:hidden/>
    <w:uiPriority w:val="99"/>
    <w:semiHidden/>
    <w:rsid w:val="00BB12C2"/>
    <w:pPr>
      <w:spacing w:after="0" w:line="240" w:lineRule="auto"/>
    </w:pPr>
    <w:rPr>
      <w:rFonts w:eastAsiaTheme="minorEastAsia"/>
      <w:lang w:eastAsia="zh-CN"/>
    </w:rPr>
  </w:style>
  <w:style w:type="character" w:customStyle="1" w:styleId="ObservationChar">
    <w:name w:val="Observation Char"/>
    <w:basedOn w:val="DefaultParagraphFont"/>
    <w:link w:val="Observation"/>
    <w:uiPriority w:val="99"/>
    <w:rsid w:val="00BB12C2"/>
    <w:rPr>
      <w:rFonts w:ascii="Arial" w:eastAsiaTheme="minorEastAsia" w:hAnsi="Arial"/>
      <w:b/>
      <w:bCs/>
      <w:lang w:eastAsia="ja-JP"/>
    </w:rPr>
  </w:style>
  <w:style w:type="numbering" w:customStyle="1" w:styleId="StyleBulleted2">
    <w:name w:val="Style Bulleted2"/>
    <w:rsid w:val="00B911E8"/>
    <w:pPr>
      <w:numPr>
        <w:numId w:val="17"/>
      </w:numPr>
    </w:pPr>
  </w:style>
  <w:style w:type="character" w:styleId="CommentReference">
    <w:name w:val="annotation reference"/>
    <w:basedOn w:val="DefaultParagraphFont"/>
    <w:unhideWhenUsed/>
    <w:qFormat/>
    <w:rsid w:val="00B911E8"/>
    <w:rPr>
      <w:sz w:val="16"/>
      <w:szCs w:val="16"/>
    </w:rPr>
  </w:style>
  <w:style w:type="paragraph" w:styleId="CommentText">
    <w:name w:val="annotation text"/>
    <w:basedOn w:val="Normal"/>
    <w:link w:val="CommentTextChar"/>
    <w:uiPriority w:val="99"/>
    <w:unhideWhenUsed/>
    <w:qFormat/>
    <w:rsid w:val="00B911E8"/>
    <w:pPr>
      <w:spacing w:after="1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qFormat/>
    <w:rsid w:val="00B911E8"/>
    <w:rPr>
      <w:rFonts w:eastAsiaTheme="minorEastAsia"/>
      <w:sz w:val="20"/>
      <w:szCs w:val="20"/>
      <w:lang w:eastAsia="zh-CN"/>
    </w:rPr>
  </w:style>
  <w:style w:type="table" w:styleId="TableGrid">
    <w:name w:val="Table Grid"/>
    <w:basedOn w:val="TableNormal"/>
    <w:uiPriority w:val="59"/>
    <w:rsid w:val="00233A21"/>
    <w:pPr>
      <w:spacing w:after="0" w:line="240" w:lineRule="auto"/>
    </w:pPr>
    <w:rPr>
      <w:rFonts w:eastAsia="SimSu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622FD0"/>
    <w:pPr>
      <w:tabs>
        <w:tab w:val="center" w:pos="4680"/>
        <w:tab w:val="right" w:pos="9360"/>
      </w:tabs>
    </w:pPr>
  </w:style>
  <w:style w:type="character" w:customStyle="1" w:styleId="HeaderChar">
    <w:name w:val="Header Char"/>
    <w:basedOn w:val="DefaultParagraphFont"/>
    <w:link w:val="Header"/>
    <w:uiPriority w:val="99"/>
    <w:rsid w:val="00622FD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73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6/09/relationships/commentsIds" Target="commentsId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1/relationships/commentsExtended" Target="commentsExtended.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image" Target="media/image1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1.jpeg"/><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377122-71D9-4218-931E-B3A72C72FBF7}">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E40F2A9F-680B-4FEE-B693-A46070B30205}">
  <ds:schemaRefs>
    <ds:schemaRef ds:uri="http://schemas.microsoft.com/sharepoint/v3/contenttype/forms"/>
  </ds:schemaRefs>
</ds:datastoreItem>
</file>

<file path=customXml/itemProps3.xml><?xml version="1.0" encoding="utf-8"?>
<ds:datastoreItem xmlns:ds="http://schemas.openxmlformats.org/officeDocument/2006/customXml" ds:itemID="{D9B00B51-DB18-46E2-8624-2F9DF152D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6133</Words>
  <Characters>34959</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2024-05-10T23:49:00Z</dcterms:created>
  <dcterms:modified xsi:type="dcterms:W3CDTF">2024-05-10T23:51:00Z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